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F6" w:rsidRPr="00CE604D" w:rsidRDefault="000F1CF6" w:rsidP="000F1CF6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04D">
        <w:rPr>
          <w:rFonts w:ascii="Times New Roman" w:hAnsi="Times New Roman" w:cs="Times New Roman"/>
          <w:b/>
          <w:bCs/>
          <w:sz w:val="28"/>
          <w:szCs w:val="28"/>
        </w:rPr>
        <w:t>School of Chemical Sciences</w:t>
      </w:r>
    </w:p>
    <w:p w:rsidR="000F1CF6" w:rsidRPr="00CE604D" w:rsidRDefault="000F1CF6" w:rsidP="000F1CF6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04D">
        <w:rPr>
          <w:rFonts w:ascii="Times New Roman" w:hAnsi="Times New Roman" w:cs="Times New Roman"/>
          <w:b/>
          <w:bCs/>
          <w:sz w:val="28"/>
          <w:szCs w:val="28"/>
        </w:rPr>
        <w:t>Devi Ahilya Vishwavidyalaya, Indore</w:t>
      </w:r>
    </w:p>
    <w:p w:rsidR="000F1CF6" w:rsidRPr="00CE604D" w:rsidRDefault="000F1CF6" w:rsidP="000F1CF6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CF6" w:rsidRPr="00CE604D" w:rsidRDefault="000F1CF6" w:rsidP="000F1CF6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04D">
        <w:rPr>
          <w:rFonts w:ascii="Times New Roman" w:hAnsi="Times New Roman" w:cs="Times New Roman"/>
          <w:b/>
          <w:bCs/>
          <w:sz w:val="28"/>
          <w:szCs w:val="28"/>
        </w:rPr>
        <w:t>M.Sc. Chemistry</w:t>
      </w:r>
    </w:p>
    <w:p w:rsidR="000F1CF6" w:rsidRPr="00CE604D" w:rsidRDefault="000F1CF6" w:rsidP="000F1CF6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0F1CF6" w:rsidRPr="00CE604D" w:rsidRDefault="000F1CF6" w:rsidP="000F1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b/>
          <w:bCs/>
          <w:sz w:val="24"/>
          <w:szCs w:val="24"/>
        </w:rPr>
      </w:pPr>
      <w:r w:rsidRPr="00CE604D">
        <w:rPr>
          <w:rFonts w:ascii="Times New Roman" w:hAnsi="Times New Roman" w:cs="Times New Roman"/>
          <w:b/>
          <w:bCs/>
          <w:sz w:val="24"/>
          <w:szCs w:val="24"/>
        </w:rPr>
        <w:t>SEMESTER III</w:t>
      </w:r>
    </w:p>
    <w:p w:rsidR="000F1CF6" w:rsidRPr="00CE604D" w:rsidRDefault="000F1CF6" w:rsidP="000F1CF6">
      <w:pPr>
        <w:widowControl w:val="0"/>
        <w:shd w:val="clear" w:color="auto" w:fill="FFFFFF"/>
        <w:autoSpaceDE w:val="0"/>
        <w:autoSpaceDN w:val="0"/>
        <w:adjustRightInd w:val="0"/>
        <w:spacing w:after="0" w:line="41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1CF6" w:rsidRPr="008E0AE9" w:rsidRDefault="000F1CF6" w:rsidP="000F1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AE9">
        <w:rPr>
          <w:rFonts w:ascii="Times New Roman" w:hAnsi="Times New Roman" w:cs="Times New Roman"/>
          <w:b/>
          <w:bCs/>
          <w:sz w:val="24"/>
          <w:szCs w:val="24"/>
        </w:rPr>
        <w:t>MCH-301: MOLECULAR SPECTROSCOPY</w:t>
      </w:r>
    </w:p>
    <w:p w:rsidR="000F1CF6" w:rsidRPr="00CE604D" w:rsidRDefault="000F1CF6" w:rsidP="000F1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20"/>
        <w:rPr>
          <w:rFonts w:ascii="Times New Roman" w:hAnsi="Times New Roman" w:cs="Times New Roman"/>
          <w:b/>
          <w:bCs/>
          <w:sz w:val="24"/>
          <w:szCs w:val="24"/>
        </w:rPr>
      </w:pPr>
    </w:p>
    <w:p w:rsidR="000F1CF6" w:rsidRDefault="000F1CF6" w:rsidP="000F1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604D">
        <w:rPr>
          <w:rFonts w:ascii="Times New Roman" w:hAnsi="Times New Roman" w:cs="Times New Roman"/>
          <w:b/>
          <w:bCs/>
          <w:sz w:val="24"/>
          <w:szCs w:val="24"/>
        </w:rPr>
        <w:t>Credit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E604D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0F1CF6" w:rsidRDefault="000F1CF6" w:rsidP="000F1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8388"/>
      </w:tblGrid>
      <w:tr w:rsidR="000F1CF6" w:rsidRPr="003901E9" w:rsidTr="009D049A">
        <w:tc>
          <w:tcPr>
            <w:tcW w:w="1188" w:type="dxa"/>
          </w:tcPr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</w:p>
        </w:tc>
        <w:tc>
          <w:tcPr>
            <w:tcW w:w="8388" w:type="dxa"/>
          </w:tcPr>
          <w:p w:rsidR="000F1CF6" w:rsidRPr="003901E9" w:rsidRDefault="000F1CF6" w:rsidP="009D049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Ultraviolet and Visible spectroscopy: Fundamentals, effect of solvent and extending conjugation on electronic transitions, ultraviolet bands for carbonyl compounds, unsaturated carbonyl compounds, </w:t>
            </w:r>
            <w:proofErr w:type="spellStart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dienes</w:t>
            </w:r>
            <w:proofErr w:type="spell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, conjugated </w:t>
            </w:r>
            <w:proofErr w:type="spellStart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polyenes</w:t>
            </w:r>
            <w:proofErr w:type="spell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Fieser</w:t>
            </w:r>
            <w:proofErr w:type="spell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 Woodward rules for conjugated </w:t>
            </w:r>
            <w:proofErr w:type="spellStart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dienes</w:t>
            </w:r>
            <w:proofErr w:type="spell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 and carbonyl compounds,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ultraviolet spectra of aromatic compounds. </w:t>
            </w:r>
            <w:proofErr w:type="spellStart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Steric</w:t>
            </w:r>
            <w:proofErr w:type="spell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 effect in biphenyls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F6" w:rsidRPr="003901E9" w:rsidTr="009D049A">
        <w:tc>
          <w:tcPr>
            <w:tcW w:w="1188" w:type="dxa"/>
          </w:tcPr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9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388" w:type="dxa"/>
          </w:tcPr>
          <w:p w:rsidR="000F1CF6" w:rsidRPr="00BF6BEA" w:rsidRDefault="000F1CF6" w:rsidP="009D049A">
            <w:pPr>
              <w:widowControl w:val="0"/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110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EA">
              <w:rPr>
                <w:rFonts w:ascii="Times New Roman" w:hAnsi="Times New Roman" w:cs="Times New Roman"/>
                <w:sz w:val="24"/>
                <w:szCs w:val="24"/>
              </w:rPr>
              <w:t>Nuclear Magnetic Resonance Spectroscopy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B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1CF6" w:rsidRPr="00460597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1CF6" w:rsidRPr="003901E9" w:rsidRDefault="000F1CF6" w:rsidP="009D049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5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EF">
              <w:rPr>
                <w:rFonts w:ascii="Times New Roman" w:hAnsi="Times New Roman" w:cs="Times New Roman"/>
                <w:sz w:val="24"/>
                <w:szCs w:val="24"/>
              </w:rPr>
              <w:t>Nuclear spin, nuclear resonance, saturation, shielding of magnetic nuclei, chemical shif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and its measurements, factors</w:t>
            </w:r>
            <w:r w:rsidRPr="002103EF">
              <w:rPr>
                <w:rFonts w:ascii="Times New Roman" w:hAnsi="Times New Roman" w:cs="Times New Roman"/>
                <w:sz w:val="24"/>
                <w:szCs w:val="24"/>
              </w:rPr>
              <w:t xml:space="preserve"> influencing chemical shift, </w:t>
            </w:r>
            <w:proofErr w:type="spellStart"/>
            <w:r w:rsidRPr="002103EF">
              <w:rPr>
                <w:rFonts w:ascii="Times New Roman" w:hAnsi="Times New Roman" w:cs="Times New Roman"/>
                <w:sz w:val="24"/>
                <w:szCs w:val="24"/>
              </w:rPr>
              <w:t>deshielding</w:t>
            </w:r>
            <w:proofErr w:type="spellEnd"/>
            <w:r w:rsidRPr="002103EF">
              <w:rPr>
                <w:rFonts w:ascii="Times New Roman" w:hAnsi="Times New Roman" w:cs="Times New Roman"/>
                <w:sz w:val="24"/>
                <w:szCs w:val="24"/>
              </w:rPr>
              <w:t>, spin-spin interactions, factors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influencing coupling constant ‘J’</w:t>
            </w:r>
            <w:r w:rsidRPr="002103EF">
              <w:rPr>
                <w:rFonts w:ascii="Times New Roman" w:hAnsi="Times New Roman" w:cs="Times New Roman"/>
                <w:sz w:val="24"/>
                <w:szCs w:val="24"/>
              </w:rPr>
              <w:t xml:space="preserve"> Classification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spin systems,</w:t>
            </w:r>
            <w:r w:rsidRPr="002103EF">
              <w:rPr>
                <w:rFonts w:ascii="Times New Roman" w:hAnsi="Times New Roman" w:cs="Times New Roman"/>
                <w:sz w:val="24"/>
                <w:szCs w:val="24"/>
              </w:rPr>
              <w:t xml:space="preserve">(AXB, AMX, ABC, A2B2 etc.).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First-order and Second-order spectra B</w:t>
            </w:r>
            <w:r w:rsidRPr="00C74DFC">
              <w:rPr>
                <w:rFonts w:ascii="Times New Roman" w:hAnsi="Times New Roman" w:cs="Times New Roman"/>
                <w:sz w:val="24"/>
                <w:szCs w:val="24"/>
              </w:rPr>
              <w:t>asic idea about instrument, FT NMR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05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74DFC">
              <w:rPr>
                <w:rFonts w:ascii="Times New Roman" w:hAnsi="Times New Roman" w:cs="Times New Roman"/>
                <w:sz w:val="24"/>
                <w:szCs w:val="24"/>
              </w:rPr>
              <w:t xml:space="preserve">chemical shift values and correlation for protons bonded to carbon (aliphatic, </w:t>
            </w:r>
            <w:proofErr w:type="spellStart"/>
            <w:r w:rsidRPr="00C74DFC">
              <w:rPr>
                <w:rFonts w:ascii="Times New Roman" w:hAnsi="Times New Roman" w:cs="Times New Roman"/>
                <w:sz w:val="24"/>
                <w:szCs w:val="24"/>
              </w:rPr>
              <w:t>olefinic</w:t>
            </w:r>
            <w:proofErr w:type="spellEnd"/>
            <w:r w:rsidRPr="00C74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DFC">
              <w:rPr>
                <w:rFonts w:ascii="Times New Roman" w:hAnsi="Times New Roman" w:cs="Times New Roman"/>
                <w:sz w:val="24"/>
                <w:szCs w:val="24"/>
              </w:rPr>
              <w:t>aldehydic</w:t>
            </w:r>
            <w:proofErr w:type="spellEnd"/>
            <w:r w:rsidRPr="00C74DFC">
              <w:rPr>
                <w:rFonts w:ascii="Times New Roman" w:hAnsi="Times New Roman" w:cs="Times New Roman"/>
                <w:sz w:val="24"/>
                <w:szCs w:val="24"/>
              </w:rPr>
              <w:t xml:space="preserve"> and aromatic) and other nuclei (alcohols, phenols, </w:t>
            </w:r>
            <w:proofErr w:type="spellStart"/>
            <w:r w:rsidRPr="00C74DFC">
              <w:rPr>
                <w:rFonts w:ascii="Times New Roman" w:hAnsi="Times New Roman" w:cs="Times New Roman"/>
                <w:sz w:val="24"/>
                <w:szCs w:val="24"/>
              </w:rPr>
              <w:t>enols</w:t>
            </w:r>
            <w:proofErr w:type="spellEnd"/>
            <w:r w:rsidRPr="00C74DFC">
              <w:rPr>
                <w:rFonts w:ascii="Times New Roman" w:hAnsi="Times New Roman" w:cs="Times New Roman"/>
                <w:sz w:val="24"/>
                <w:szCs w:val="24"/>
              </w:rPr>
              <w:t xml:space="preserve">, carboxylic acids, amines, amides &amp; </w:t>
            </w:r>
            <w:proofErr w:type="spellStart"/>
            <w:r w:rsidRPr="00C74DFC">
              <w:rPr>
                <w:rFonts w:ascii="Times New Roman" w:hAnsi="Times New Roman" w:cs="Times New Roman"/>
                <w:sz w:val="24"/>
                <w:szCs w:val="24"/>
              </w:rPr>
              <w:t>mercapto</w:t>
            </w:r>
            <w:proofErr w:type="spellEnd"/>
            <w:r w:rsidRPr="00C74DFC">
              <w:rPr>
                <w:rFonts w:ascii="Times New Roman" w:hAnsi="Times New Roman" w:cs="Times New Roman"/>
                <w:sz w:val="24"/>
                <w:szCs w:val="24"/>
              </w:rPr>
              <w:t>), spin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decoupling(double resonance), </w:t>
            </w:r>
            <w:r w:rsidRPr="00C74DFC">
              <w:rPr>
                <w:rFonts w:ascii="Times New Roman" w:hAnsi="Times New Roman" w:cs="Times New Roman"/>
                <w:sz w:val="24"/>
                <w:szCs w:val="24"/>
              </w:rPr>
              <w:t>chemical 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change, effect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deuteration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C74DFC">
              <w:rPr>
                <w:rFonts w:ascii="Times New Roman" w:hAnsi="Times New Roman" w:cs="Times New Roman"/>
                <w:sz w:val="24"/>
                <w:szCs w:val="24"/>
              </w:rPr>
              <w:t>tereochemistry, hindered rotation, NMR shift 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gents, Solvent effect, Nuclear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74DFC">
              <w:rPr>
                <w:rFonts w:ascii="Times New Roman" w:hAnsi="Times New Roman" w:cs="Times New Roman"/>
                <w:sz w:val="24"/>
                <w:szCs w:val="24"/>
              </w:rPr>
              <w:t>verhauser</w:t>
            </w:r>
            <w:proofErr w:type="spellEnd"/>
            <w:r w:rsidRPr="00C74DFC">
              <w:rPr>
                <w:rFonts w:ascii="Times New Roman" w:hAnsi="Times New Roman" w:cs="Times New Roman"/>
                <w:sz w:val="24"/>
                <w:szCs w:val="24"/>
              </w:rPr>
              <w:t xml:space="preserve"> effect (NOE).</w:t>
            </w:r>
            <w:r w:rsidRPr="00166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1CF6" w:rsidRPr="003901E9" w:rsidTr="009D049A">
        <w:tc>
          <w:tcPr>
            <w:tcW w:w="1188" w:type="dxa"/>
          </w:tcPr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III</w:t>
            </w:r>
          </w:p>
        </w:tc>
        <w:tc>
          <w:tcPr>
            <w:tcW w:w="8388" w:type="dxa"/>
          </w:tcPr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F6" w:rsidRDefault="000F1CF6" w:rsidP="009D049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5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Carbon-13 NMR Spectroscopy: General considerations, chemical shift (aliphatic </w:t>
            </w:r>
            <w:proofErr w:type="spellStart"/>
            <w:proofErr w:type="gramStart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olefinic</w:t>
            </w:r>
            <w:proofErr w:type="spell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alkyne</w:t>
            </w:r>
            <w:proofErr w:type="spell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, aromatic, </w:t>
            </w:r>
            <w:proofErr w:type="spellStart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heteroaromatic</w:t>
            </w:r>
            <w:proofErr w:type="spell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carboynl</w:t>
            </w:r>
            <w:proofErr w:type="spell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 carbon), </w:t>
            </w:r>
            <w:r w:rsidRPr="00C74DFC">
              <w:rPr>
                <w:rFonts w:ascii="Times New Roman" w:hAnsi="Times New Roman" w:cs="Times New Roman"/>
                <w:sz w:val="24"/>
                <w:szCs w:val="24"/>
              </w:rPr>
              <w:t>NMR 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dies of nuclei other than proton and carbon</w:t>
            </w:r>
            <w:r w:rsidRPr="00C74D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D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  <w:r w:rsidRPr="00C74DFC">
              <w:rPr>
                <w:rFonts w:ascii="Times New Roman" w:hAnsi="Times New Roman" w:cs="Times New Roman"/>
                <w:sz w:val="24"/>
                <w:szCs w:val="24"/>
              </w:rPr>
              <w:t xml:space="preserve">F and </w:t>
            </w:r>
            <w:r w:rsidRPr="00C74D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31</w:t>
            </w:r>
            <w:r w:rsidRPr="00C74DFC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:rsidR="000F1CF6" w:rsidRPr="003901E9" w:rsidRDefault="000F1CF6" w:rsidP="009D049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5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Two dimensional NMR spectroscopy: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COSY, HETCOR, NOESY, DEPT,HMBC and HMQC techniques</w:t>
            </w:r>
          </w:p>
        </w:tc>
      </w:tr>
      <w:tr w:rsidR="000F1CF6" w:rsidRPr="003901E9" w:rsidTr="009D049A">
        <w:tc>
          <w:tcPr>
            <w:tcW w:w="1188" w:type="dxa"/>
          </w:tcPr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</w:p>
        </w:tc>
        <w:tc>
          <w:tcPr>
            <w:tcW w:w="8388" w:type="dxa"/>
          </w:tcPr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F6" w:rsidRPr="003901E9" w:rsidRDefault="000F1CF6" w:rsidP="009D049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38" w:lineRule="auto"/>
              <w:ind w:firstLine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Mass Spectrometry : Introduction, ion production EI, CI, FD, ESI and FAB, ion analysis, ion abundance, Mass spectral fragmentation of organic compounds, common functional groups, molecular ion peak, </w:t>
            </w:r>
            <w:proofErr w:type="spellStart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metastable</w:t>
            </w:r>
            <w:proofErr w:type="spell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 ion peak, Mc Lafferty rearrangement , Nitrogen rule, High resolution mass spectrometry.</w:t>
            </w:r>
          </w:p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Combined problems based on UV, IR, NMR and Mass spectral techniques</w:t>
            </w:r>
          </w:p>
        </w:tc>
      </w:tr>
      <w:tr w:rsidR="000F1CF6" w:rsidRPr="003901E9" w:rsidTr="009D049A">
        <w:trPr>
          <w:trHeight w:val="70"/>
        </w:trPr>
        <w:tc>
          <w:tcPr>
            <w:tcW w:w="1188" w:type="dxa"/>
          </w:tcPr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8" w:type="dxa"/>
          </w:tcPr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Books Suggested</w:t>
            </w:r>
          </w:p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F6" w:rsidRPr="003901E9" w:rsidRDefault="000F1CF6" w:rsidP="000F1CF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0"/>
              </w:tabs>
              <w:overflowPunct w:val="0"/>
              <w:autoSpaceDE w:val="0"/>
              <w:autoSpaceDN w:val="0"/>
              <w:adjustRightInd w:val="0"/>
              <w:spacing w:after="0" w:line="237" w:lineRule="auto"/>
              <w:ind w:left="540" w:right="3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R.M. Silverstein, G.C. </w:t>
            </w:r>
            <w:proofErr w:type="spellStart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Bassler</w:t>
            </w:r>
            <w:proofErr w:type="spell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 and T.C. Morrill, Spectrometric Identification of Organic Compounds, John Wiley </w:t>
            </w:r>
          </w:p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F6" w:rsidRPr="003901E9" w:rsidRDefault="000F1CF6" w:rsidP="000F1CF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R.J. Abraham, J. Fisher and P. Loftus, Introduction to NMR spectroscopy, Wiley </w:t>
            </w:r>
          </w:p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F6" w:rsidRPr="003901E9" w:rsidRDefault="000F1CF6" w:rsidP="000F1CF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0"/>
              </w:tabs>
              <w:overflowPunct w:val="0"/>
              <w:autoSpaceDE w:val="0"/>
              <w:autoSpaceDN w:val="0"/>
              <w:adjustRightInd w:val="0"/>
              <w:spacing w:after="0" w:line="237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J.R. Dyer, Application of Spectroscopy of Organic Compounds, Prentice Hall </w:t>
            </w:r>
          </w:p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F6" w:rsidRPr="003901E9" w:rsidRDefault="000F1CF6" w:rsidP="000F1CF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 w:right="2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D.H. Williams, I. Fleming, Spectroscopic Methods in Organic Chemistry, Tata McGraw-Hill </w:t>
            </w:r>
          </w:p>
          <w:p w:rsidR="000F1CF6" w:rsidRPr="003901E9" w:rsidRDefault="000F1CF6" w:rsidP="000F1CF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Banwell</w:t>
            </w:r>
            <w:proofErr w:type="spell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, Fundamentals of Molecular Spectroscopy, Tata McGraw Hill </w:t>
            </w:r>
          </w:p>
          <w:p w:rsidR="000F1CF6" w:rsidRPr="003901E9" w:rsidRDefault="000F1CF6" w:rsidP="009D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F6" w:rsidRPr="003901E9" w:rsidRDefault="000F1CF6" w:rsidP="000F1CF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0"/>
              </w:tabs>
              <w:overflowPunct w:val="0"/>
              <w:autoSpaceDE w:val="0"/>
              <w:autoSpaceDN w:val="0"/>
              <w:adjustRightInd w:val="0"/>
              <w:spacing w:after="0" w:line="237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>Aruldhas</w:t>
            </w:r>
            <w:proofErr w:type="spellEnd"/>
            <w:r w:rsidRPr="003901E9">
              <w:rPr>
                <w:rFonts w:ascii="Times New Roman" w:hAnsi="Times New Roman" w:cs="Times New Roman"/>
                <w:sz w:val="24"/>
                <w:szCs w:val="24"/>
              </w:rPr>
              <w:t xml:space="preserve">, Molecular Structure and Spectroscopy, Prentice Hall </w:t>
            </w:r>
          </w:p>
        </w:tc>
      </w:tr>
    </w:tbl>
    <w:p w:rsidR="00B50797" w:rsidRDefault="00B50797"/>
    <w:sectPr w:rsidR="00B50797" w:rsidSect="000F1CF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1CF6"/>
    <w:rsid w:val="000F1CF6"/>
    <w:rsid w:val="00B5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2022-04-18T15:52:00Z</dcterms:created>
  <dcterms:modified xsi:type="dcterms:W3CDTF">2022-04-18T15:53:00Z</dcterms:modified>
</cp:coreProperties>
</file>