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DAB">
        <w:rPr>
          <w:rFonts w:ascii="Times New Roman" w:hAnsi="Times New Roman" w:cs="Times New Roman"/>
          <w:b/>
          <w:bCs/>
          <w:sz w:val="32"/>
          <w:szCs w:val="32"/>
        </w:rPr>
        <w:t>School of Chemical Sciences</w:t>
      </w:r>
    </w:p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DAB">
        <w:rPr>
          <w:rFonts w:ascii="Times New Roman" w:hAnsi="Times New Roman" w:cs="Times New Roman"/>
          <w:b/>
          <w:bCs/>
          <w:sz w:val="28"/>
          <w:szCs w:val="28"/>
        </w:rPr>
        <w:t xml:space="preserve">Devi </w:t>
      </w:r>
      <w:proofErr w:type="spellStart"/>
      <w:r w:rsidRPr="00892DAB">
        <w:rPr>
          <w:rFonts w:ascii="Times New Roman" w:hAnsi="Times New Roman" w:cs="Times New Roman"/>
          <w:b/>
          <w:bCs/>
          <w:sz w:val="28"/>
          <w:szCs w:val="28"/>
        </w:rPr>
        <w:t>Ahilya</w:t>
      </w:r>
      <w:proofErr w:type="spellEnd"/>
      <w:r w:rsidRPr="00892D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2DAB">
        <w:rPr>
          <w:rFonts w:ascii="Times New Roman" w:hAnsi="Times New Roman" w:cs="Times New Roman"/>
          <w:b/>
          <w:bCs/>
          <w:sz w:val="28"/>
          <w:szCs w:val="28"/>
        </w:rPr>
        <w:t>Vishwavidyalaya</w:t>
      </w:r>
      <w:proofErr w:type="spellEnd"/>
      <w:r w:rsidRPr="00892DAB">
        <w:rPr>
          <w:rFonts w:ascii="Times New Roman" w:hAnsi="Times New Roman" w:cs="Times New Roman"/>
          <w:b/>
          <w:bCs/>
          <w:sz w:val="28"/>
          <w:szCs w:val="28"/>
        </w:rPr>
        <w:t>, Indore</w:t>
      </w:r>
    </w:p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DAB">
        <w:rPr>
          <w:rFonts w:ascii="Times New Roman" w:hAnsi="Times New Roman" w:cs="Times New Roman"/>
          <w:b/>
          <w:bCs/>
          <w:sz w:val="28"/>
          <w:szCs w:val="28"/>
        </w:rPr>
        <w:t>M.Sc. Chemistry</w:t>
      </w:r>
    </w:p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Arial" w:hAnsi="Arial" w:cs="Arial"/>
          <w:b/>
          <w:bCs/>
          <w:sz w:val="16"/>
          <w:szCs w:val="16"/>
        </w:rPr>
      </w:pPr>
    </w:p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 w:rsidRPr="00892DAB">
        <w:rPr>
          <w:rFonts w:ascii="Times New Roman" w:hAnsi="Times New Roman" w:cs="Times New Roman"/>
          <w:b/>
          <w:bCs/>
          <w:sz w:val="24"/>
          <w:szCs w:val="24"/>
        </w:rPr>
        <w:t>SEMESTER IV</w:t>
      </w:r>
    </w:p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41" w:lineRule="exact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40" w:lineRule="auto"/>
        <w:ind w:left="3160" w:hanging="330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92DAB">
        <w:rPr>
          <w:rFonts w:ascii="Times New Roman" w:hAnsi="Times New Roman" w:cs="Times New Roman"/>
          <w:b/>
          <w:bCs/>
          <w:sz w:val="24"/>
          <w:szCs w:val="24"/>
        </w:rPr>
        <w:t>MCH-403: SOLID STATE CHEMISTRY &amp; NANOSCIENCE</w:t>
      </w:r>
    </w:p>
    <w:bookmarkEnd w:id="0"/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40" w:lineRule="auto"/>
        <w:ind w:left="20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92DAB">
        <w:rPr>
          <w:rFonts w:ascii="Times New Roman" w:hAnsi="Times New Roman" w:cs="Times New Roman"/>
          <w:b/>
          <w:bCs/>
          <w:sz w:val="24"/>
          <w:szCs w:val="24"/>
        </w:rPr>
        <w:t>Credits 4</w:t>
      </w:r>
    </w:p>
    <w:p w:rsidR="00892DAB" w:rsidRPr="00892DAB" w:rsidRDefault="00892DAB" w:rsidP="00892DAB">
      <w:pPr>
        <w:widowControl w:val="0"/>
        <w:autoSpaceDE w:val="0"/>
        <w:autoSpaceDN w:val="0"/>
        <w:adjustRightInd w:val="0"/>
        <w:spacing w:after="0" w:line="240" w:lineRule="auto"/>
        <w:ind w:left="20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8179"/>
      </w:tblGrid>
      <w:tr w:rsidR="00892DAB" w:rsidRPr="00892DAB" w:rsidTr="00AE7057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AB" w:rsidRPr="00892DAB" w:rsidRDefault="00892DAB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9" w:lineRule="auto"/>
              <w:ind w:firstLine="5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892DAB">
                  <w:rPr>
                    <w:rFonts w:ascii="Times New Roman" w:hAnsi="Times New Roman" w:cs="Times New Roman"/>
                    <w:b/>
                    <w:bCs/>
                    <w:iCs/>
                    <w:sz w:val="24"/>
                    <w:szCs w:val="24"/>
                  </w:rPr>
                  <w:t>Solid</w:t>
                </w:r>
              </w:smartTag>
              <w:r w:rsidRPr="00892DAB">
                <w:rPr>
                  <w:rFonts w:ascii="Times New Roman" w:hAnsi="Times New Roman" w:cs="Times New Roman"/>
                  <w:b/>
                  <w:bCs/>
                  <w:iCs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892DAB">
                  <w:rPr>
                    <w:rFonts w:ascii="Times New Roman" w:hAnsi="Times New Roman" w:cs="Times New Roman"/>
                    <w:b/>
                    <w:bCs/>
                    <w:iCs/>
                    <w:sz w:val="24"/>
                    <w:szCs w:val="24"/>
                  </w:rPr>
                  <w:t>State</w:t>
                </w:r>
              </w:smartTag>
            </w:smartTag>
            <w:r w:rsidRPr="00892D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Reactions</w:t>
            </w:r>
            <w:r w:rsidRPr="00892DA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892DAB" w:rsidRPr="00892DAB" w:rsidRDefault="00892DAB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9" w:lineRule="auto"/>
              <w:ind w:firstLine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Principles,Experimental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procedure,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Coprecipitation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as a procedure to solid state reactions, Crystallization of solutions and gels (zeolite synthesis ),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melts,and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glasses, Vapor phase transport methods, Modification of existing structures by intercalation and Ion exchange reactions, preparation of thin films - electrochemical methods, chemical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vapour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deposition; Growth of single Crystals –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Czochralski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method, Bridgman &amp;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Stokbarger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methods, zone melting.</w:t>
            </w:r>
          </w:p>
        </w:tc>
      </w:tr>
      <w:tr w:rsidR="00892DAB" w:rsidRPr="00892DAB" w:rsidTr="00AE7057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-II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AB" w:rsidRPr="00892DAB" w:rsidRDefault="00892DAB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892DAB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Crystal</w:t>
                </w:r>
              </w:smartTag>
            </w:smartTag>
            <w:r w:rsidRPr="0089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defects and  Non- stoichiometry </w:t>
            </w:r>
          </w:p>
          <w:p w:rsidR="00892DAB" w:rsidRPr="00892DAB" w:rsidRDefault="00892DAB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Stoichiometric Defects: Perfect and imperfect crystals, Types of defects, Point defects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Schottky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defect ,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Frenkel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defects ,The  concentration of defects: Law of Mass action and statistical thermodynamic approaches,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Numericals</w:t>
            </w:r>
            <w:proofErr w:type="spellEnd"/>
          </w:p>
          <w:p w:rsidR="00892DAB" w:rsidRPr="00892DAB" w:rsidRDefault="00892DAB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Non-Stoichiometric Defects: Origin of non-stoichiometry,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centers: F-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gram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,H</w:t>
            </w:r>
            <w:proofErr w:type="spellEnd"/>
            <w:proofErr w:type="gram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centre,V-centre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DAB" w:rsidRPr="00892DAB" w:rsidTr="00AE7057"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III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AB" w:rsidRPr="00892DAB" w:rsidRDefault="00892DAB" w:rsidP="00AE7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AB">
              <w:rPr>
                <w:rFonts w:ascii="Times New Roman" w:hAnsi="Times New Roman"/>
                <w:b/>
                <w:sz w:val="24"/>
                <w:szCs w:val="24"/>
              </w:rPr>
              <w:t>Superconductors</w:t>
            </w:r>
          </w:p>
          <w:p w:rsidR="00892DAB" w:rsidRPr="00892DAB" w:rsidRDefault="00892DAB" w:rsidP="00AE70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DAB">
              <w:rPr>
                <w:rFonts w:ascii="Times New Roman" w:hAnsi="Times New Roman"/>
                <w:sz w:val="24"/>
                <w:szCs w:val="24"/>
              </w:rPr>
              <w:t xml:space="preserve">Superconductivity: occurrence of superconductivity, destruction of superconductivity by magnetic fields (Meissner effect), BCS theory of superconductivity, </w:t>
            </w:r>
          </w:p>
          <w:p w:rsidR="00892DAB" w:rsidRPr="00892DAB" w:rsidRDefault="00892DAB" w:rsidP="00AE70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DAB">
              <w:rPr>
                <w:rFonts w:ascii="Times New Roman" w:hAnsi="Times New Roman"/>
                <w:b/>
                <w:bCs/>
                <w:sz w:val="24"/>
                <w:szCs w:val="24"/>
              </w:rPr>
              <w:t>Organic Superconductors</w:t>
            </w:r>
            <w:r w:rsidRPr="00892DAB">
              <w:rPr>
                <w:rFonts w:ascii="Times New Roman" w:hAnsi="Times New Roman"/>
                <w:sz w:val="24"/>
                <w:szCs w:val="24"/>
              </w:rPr>
              <w:t xml:space="preserve">: Brief introduction, Types , Examples and their Applications </w:t>
            </w:r>
          </w:p>
          <w:p w:rsidR="00892DAB" w:rsidRPr="00892DAB" w:rsidRDefault="00892DAB" w:rsidP="00AE7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AB">
              <w:rPr>
                <w:rFonts w:ascii="Times New Roman" w:hAnsi="Times New Roman"/>
                <w:b/>
                <w:sz w:val="24"/>
                <w:szCs w:val="24"/>
              </w:rPr>
              <w:t>Optical properties</w:t>
            </w:r>
            <w:r w:rsidRPr="00892DAB">
              <w:rPr>
                <w:rFonts w:ascii="Times New Roman" w:hAnsi="Times New Roman"/>
                <w:sz w:val="24"/>
                <w:szCs w:val="24"/>
              </w:rPr>
              <w:t xml:space="preserve">: Luminescence and phosphors; Configurational coordinate model, </w:t>
            </w:r>
            <w:proofErr w:type="spellStart"/>
            <w:r w:rsidRPr="00892DAB">
              <w:rPr>
                <w:rFonts w:ascii="Times New Roman" w:hAnsi="Times New Roman"/>
                <w:sz w:val="24"/>
                <w:szCs w:val="24"/>
              </w:rPr>
              <w:t>Antistoke</w:t>
            </w:r>
            <w:proofErr w:type="spellEnd"/>
            <w:r w:rsidRPr="00892DAB">
              <w:rPr>
                <w:rFonts w:ascii="Times New Roman" w:hAnsi="Times New Roman"/>
                <w:sz w:val="24"/>
                <w:szCs w:val="24"/>
              </w:rPr>
              <w:t xml:space="preserve"> phosphors, Lasers — ruby and neodymium</w:t>
            </w:r>
          </w:p>
        </w:tc>
      </w:tr>
      <w:tr w:rsidR="00892DAB" w:rsidTr="00AE7057">
        <w:trPr>
          <w:trHeight w:val="187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IV</w:t>
            </w:r>
          </w:p>
        </w:tc>
        <w:tc>
          <w:tcPr>
            <w:tcW w:w="8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b/>
                <w:sz w:val="24"/>
                <w:szCs w:val="24"/>
              </w:rPr>
              <w:t>Nanotechnology &amp; Nanomaterials</w:t>
            </w:r>
          </w:p>
          <w:p w:rsidR="00892DAB" w:rsidRP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Basic concepts of Nanoscience -nanotechnology and their role  in various fields, Synthesis of nanoparticles (Top-down -Nanolithography, CVD; Bottom-up -Sol-get processing, chemical synthesis) , Chemistry involved in the synthesis of inorganic (metal oxides, metals, quantum-dots) nanostructured materials, and their characterization techniques, Properties of nanostructured materials: optical, magnetic and chemical properties. Applications in the multiple domains of nanotechnology (environment, energy, medical, optics, lab-on-chip)</w:t>
            </w:r>
          </w:p>
          <w:p w:rsidR="00892DAB" w:rsidRPr="008764E6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Nanometerials</w:t>
            </w:r>
            <w:proofErr w:type="spellEnd"/>
            <w:r w:rsidRPr="00892DAB">
              <w:rPr>
                <w:rFonts w:ascii="Times New Roman" w:hAnsi="Times New Roman" w:cs="Times New Roman"/>
                <w:sz w:val="24"/>
                <w:szCs w:val="24"/>
              </w:rPr>
              <w:t>: Introduction, Carbon-based materials-Fullerenes, Carbon nanotubes, Quantum well, Quantum wires, Quantum dots, Dendrimers</w:t>
            </w:r>
            <w:r w:rsidRPr="0087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DAB" w:rsidRDefault="00892DAB" w:rsidP="00AE7057">
            <w:pPr>
              <w:pStyle w:val="Default"/>
            </w:pPr>
          </w:p>
          <w:p w:rsidR="00892DAB" w:rsidRDefault="00892DAB" w:rsidP="00AE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709" w:rsidRDefault="00B10709"/>
    <w:sectPr w:rsidR="00B1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B"/>
    <w:rsid w:val="00892DAB"/>
    <w:rsid w:val="00B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C96A4-4CD1-4276-A890-DAEA03C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AB"/>
    <w:pPr>
      <w:spacing w:after="200" w:line="276" w:lineRule="auto"/>
    </w:pPr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2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2022-04-20T11:39:00Z</dcterms:created>
  <dcterms:modified xsi:type="dcterms:W3CDTF">2022-04-20T11:40:00Z</dcterms:modified>
</cp:coreProperties>
</file>