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E" w:rsidRDefault="00B562DE" w:rsidP="00B562DE">
      <w:pPr>
        <w:tabs>
          <w:tab w:val="left" w:pos="1935"/>
        </w:tabs>
        <w:spacing w:after="0" w:line="240" w:lineRule="auto"/>
        <w:ind w:left="-426"/>
        <w:jc w:val="center"/>
        <w:rPr>
          <w:lang w:bidi="hi-IN"/>
        </w:rPr>
      </w:pPr>
    </w:p>
    <w:p w:rsidR="00B562DE" w:rsidRDefault="00B562DE" w:rsidP="00B562DE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F3B94">
        <w:rPr>
          <w:rFonts w:ascii="Times New Roman" w:hAnsi="Times New Roman" w:cs="Times New Roman"/>
          <w:b/>
          <w:bCs/>
          <w:noProof/>
          <w:sz w:val="44"/>
          <w:szCs w:val="44"/>
          <w:lang w:eastAsia="en-GB" w:bidi="hi-IN"/>
        </w:rPr>
        <w:drawing>
          <wp:inline distT="0" distB="0" distL="0" distR="0">
            <wp:extent cx="62865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SCHOOL </w:t>
      </w:r>
      <w:r w:rsidRPr="003F3B94">
        <w:rPr>
          <w:rFonts w:ascii="Times New Roman" w:hAnsi="Times New Roman" w:cs="Times New Roman"/>
          <w:b/>
          <w:bCs/>
          <w:sz w:val="40"/>
          <w:szCs w:val="40"/>
        </w:rPr>
        <w:t>OF SOCIAL SCIENCES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>
        <w:rPr>
          <w:noProof/>
          <w:lang w:eastAsia="en-GB" w:bidi="hi-IN"/>
        </w:rPr>
        <w:drawing>
          <wp:inline distT="0" distB="0" distL="0" distR="0">
            <wp:extent cx="552450" cy="476250"/>
            <wp:effectExtent l="19050" t="0" r="0" b="0"/>
            <wp:docPr id="2" name="Picture 1" descr="http://www.dauniv.ac.in/include/css/img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univ.ac.in/include/css/img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DE" w:rsidRDefault="00B562DE" w:rsidP="00B562DE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5E7D"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B562DE" w:rsidRPr="00361CE9" w:rsidRDefault="00B562DE" w:rsidP="00B562DE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NAAC Accredited ‘A+’ Grade University</w:t>
      </w:r>
      <w:r>
        <w:rPr>
          <w:rFonts w:hint="cs"/>
          <w:cs/>
          <w:lang w:bidi="hi-IN"/>
        </w:rPr>
        <w:t xml:space="preserve">   </w:t>
      </w:r>
    </w:p>
    <w:p w:rsidR="00B562DE" w:rsidRDefault="00B562DE" w:rsidP="00B562DE">
      <w:r w:rsidRPr="00982828">
        <w:rPr>
          <w:noProof/>
          <w:lang w:val="en-US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95pt;margin-top:20.65pt;width:535.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"/>
        </w:pict>
      </w:r>
    </w:p>
    <w:p w:rsidR="00B562DE" w:rsidRPr="00C14EE9" w:rsidRDefault="00B562DE" w:rsidP="00B562DE">
      <w:pPr>
        <w:spacing w:after="0" w:line="240" w:lineRule="auto"/>
        <w:rPr>
          <w:b/>
          <w:sz w:val="20"/>
          <w:szCs w:val="20"/>
        </w:rPr>
      </w:pPr>
      <w:r w:rsidRPr="00C14EE9">
        <w:rPr>
          <w:b/>
          <w:sz w:val="20"/>
          <w:szCs w:val="20"/>
        </w:rPr>
        <w:t xml:space="preserve">Takshashila Campus, Khandwa Road, INDORE 452001(M.P.), Telephone (office) 0731-2362140,0731-2362150 </w:t>
      </w:r>
    </w:p>
    <w:p w:rsidR="00B562DE" w:rsidRDefault="00B562DE" w:rsidP="00B562DE">
      <w:pPr>
        <w:spacing w:after="0" w:line="240" w:lineRule="auto"/>
        <w:rPr>
          <w:lang w:bidi="hi-IN"/>
        </w:rPr>
      </w:pPr>
      <w:r w:rsidRPr="00982828">
        <w:rPr>
          <w:noProof/>
          <w:lang w:val="en-US" w:bidi="hi-IN"/>
        </w:rPr>
        <w:pict>
          <v:shape id="_x0000_s1027" type="#_x0000_t32" style="position:absolute;margin-left:-40.45pt;margin-top:13.8pt;width:535.5pt;height:1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muKg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"/>
        </w:pict>
      </w:r>
      <w:r w:rsidRPr="00C14EE9">
        <w:rPr>
          <w:b/>
          <w:sz w:val="20"/>
          <w:szCs w:val="20"/>
        </w:rPr>
        <w:t xml:space="preserve">E-mail: </w:t>
      </w:r>
      <w:hyperlink r:id="rId7" w:history="1">
        <w:r w:rsidRPr="00C14EE9">
          <w:rPr>
            <w:rStyle w:val="Hyperlink"/>
            <w:b/>
            <w:sz w:val="20"/>
            <w:szCs w:val="20"/>
          </w:rPr>
          <w:t>soss.davv@gmail.com</w:t>
        </w:r>
      </w:hyperlink>
      <w:r w:rsidRPr="00C14EE9">
        <w:rPr>
          <w:b/>
          <w:sz w:val="20"/>
          <w:szCs w:val="20"/>
        </w:rPr>
        <w:t xml:space="preserve">, Website: </w:t>
      </w:r>
      <w:hyperlink r:id="rId8" w:history="1">
        <w:r w:rsidRPr="00C14EE9">
          <w:rPr>
            <w:rStyle w:val="Hyperlink"/>
            <w:b/>
            <w:sz w:val="20"/>
            <w:szCs w:val="20"/>
          </w:rPr>
          <w:t>http://www.soss.dauniv.ac.in/</w:t>
        </w:r>
      </w:hyperlink>
      <w:r>
        <w:rPr>
          <w:rFonts w:hint="cs"/>
          <w:cs/>
          <w:lang w:bidi="hi-IN"/>
        </w:rPr>
        <w:t xml:space="preserve">   </w:t>
      </w:r>
    </w:p>
    <w:p w:rsidR="00B562DE" w:rsidRDefault="00B562DE" w:rsidP="00B562DE">
      <w:pPr>
        <w:spacing w:after="0" w:line="240" w:lineRule="auto"/>
      </w:pPr>
    </w:p>
    <w:p w:rsidR="00B562DE" w:rsidRDefault="00B562DE" w:rsidP="00B562D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562DE" w:rsidRDefault="00B562DE" w:rsidP="00B562D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562DE">
        <w:rPr>
          <w:rFonts w:ascii="Times New Roman" w:hAnsi="Times New Roman" w:cs="Times New Roman"/>
          <w:b/>
          <w:bCs/>
          <w:sz w:val="28"/>
          <w:szCs w:val="24"/>
        </w:rPr>
        <w:t>BSW Program Outcomes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  <w:u w:val="single"/>
        </w:rPr>
        <w:t>Competencies and Practice Behaviors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At the completion of the program, students in the BSW program should be able to demonstrate the following competencies and foundational and advanced level practice behaviors.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1.     Competency:  Identify as a professional social worker and conduct oneself accordingly.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advocate for client access to the services of social work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practice personal reflection and self-correction to assure continual professional development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attend to professional roles and boundaries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demonstrate professional demeanor in behavior, appearance, and communication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engage in career-long learning</w:t>
      </w:r>
    </w:p>
    <w:p w:rsidR="00B562DE" w:rsidRPr="00B562DE" w:rsidRDefault="00B562DE" w:rsidP="00B56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use supervision and consultation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2.   Competency:   Apply social work ethical principles to guide professional practice.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recognize and manage personal values in a way that allows professional values to guide practice.</w:t>
      </w:r>
    </w:p>
    <w:p w:rsidR="00B562DE" w:rsidRPr="00B562DE" w:rsidRDefault="00B562DE" w:rsidP="00B562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make ethical decisions by applying standards of NASW</w:t>
      </w:r>
    </w:p>
    <w:p w:rsidR="00B562DE" w:rsidRPr="00B562DE" w:rsidRDefault="00B562DE" w:rsidP="00B562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tolerate ambiguity in resolving ethical conflicts.</w:t>
      </w:r>
    </w:p>
    <w:p w:rsidR="00B562DE" w:rsidRPr="00B562DE" w:rsidRDefault="00B562DE" w:rsidP="00B562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apply strategies of ethical reasoning to arrive at principled decisions.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3.   Competency:   Apply critical thinking to inform and communicate professional judgments.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distinguish, appraise, and integrate multiple sources of knowledge, including research-based knowledge, and practice wisdom.</w:t>
      </w:r>
    </w:p>
    <w:p w:rsidR="00B562DE" w:rsidRPr="00B562DE" w:rsidRDefault="00B562DE" w:rsidP="00B562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lastRenderedPageBreak/>
        <w:t>Ability to analyze models of assessment, prevention, intervention, and evaluation</w:t>
      </w:r>
    </w:p>
    <w:p w:rsidR="00B562DE" w:rsidRPr="00B562DE" w:rsidRDefault="00B562DE" w:rsidP="00B562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demonstrate effective oral and written communication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4.   Competency:  Engage diversity and difference in practice.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recognize the extent to which a culture’s structures and values may oppress, marginalize, alienate or create or enhance privilege and power</w:t>
      </w:r>
    </w:p>
    <w:p w:rsidR="00B562DE" w:rsidRPr="00B562DE" w:rsidRDefault="00B562DE" w:rsidP="00B562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gain sufficient self-awareness to eliminate the influence of personal biases and values in working with diverse groups</w:t>
      </w:r>
    </w:p>
    <w:p w:rsidR="00B562DE" w:rsidRPr="00B562DE" w:rsidRDefault="00B562DE" w:rsidP="00B562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recognize and communicate their understanding of the importance of difference in shaping life experiences</w:t>
      </w:r>
    </w:p>
    <w:p w:rsidR="00B562DE" w:rsidRPr="00B562DE" w:rsidRDefault="00B562DE" w:rsidP="00B562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view themselves as learners and engage with those with whom they work as informants.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5.   Competency:  Advance human rights and economic justice.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understand the forms and mechanisms of oppression and discrimination</w:t>
      </w:r>
    </w:p>
    <w:p w:rsidR="00B562DE" w:rsidRPr="00B562DE" w:rsidRDefault="00B562DE" w:rsidP="00B562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advocate for human rights and social and economic justice.</w:t>
      </w:r>
    </w:p>
    <w:p w:rsidR="00B562DE" w:rsidRPr="00B562DE" w:rsidRDefault="00B562DE" w:rsidP="00B562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engage in practices that advance social and economic justice.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2DE">
        <w:rPr>
          <w:rFonts w:ascii="Times New Roman" w:hAnsi="Times New Roman" w:cs="Times New Roman"/>
          <w:b/>
          <w:bCs/>
          <w:sz w:val="24"/>
          <w:szCs w:val="24"/>
        </w:rPr>
        <w:t>6.   Competency: Engage in research-informed practice and practice-informed research. This includes mastery of the following practice behaviors:</w:t>
      </w:r>
    </w:p>
    <w:p w:rsidR="00B562DE" w:rsidRPr="00B562DE" w:rsidRDefault="00B562DE" w:rsidP="00B562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use practice experience to inform scientific inquiry.</w:t>
      </w:r>
    </w:p>
    <w:p w:rsidR="00B562DE" w:rsidRPr="00B562DE" w:rsidRDefault="00B562DE" w:rsidP="00B562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Ability to use research evidence to inform practice.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</w:rPr>
        <w:t>7.   Competency:  Apply knowledge of human behavior and the social environment. This includes mastery of the following practice behaviors :</w:t>
      </w:r>
    </w:p>
    <w:p w:rsidR="00B562DE" w:rsidRPr="00490120" w:rsidRDefault="00B562DE" w:rsidP="0049012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utilize conceptual frameworks to guide the processes of assessment, intervention, and evaluation.</w:t>
      </w:r>
    </w:p>
    <w:p w:rsidR="00B562DE" w:rsidRPr="00490120" w:rsidRDefault="00B562DE" w:rsidP="0049012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critique and apply knowledge to understand person and environment.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</w:rPr>
        <w:t>8.   Competency:  Engage in policy practice to advance social and economic well-being and to deliver effective social services.  This includes mastery of the following practice behaviors:</w:t>
      </w:r>
    </w:p>
    <w:p w:rsidR="00B562DE" w:rsidRPr="00490120" w:rsidRDefault="00B562DE" w:rsidP="004901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analyze, formulate, and advocate for policies that advance social well-being</w:t>
      </w:r>
    </w:p>
    <w:p w:rsidR="00B562DE" w:rsidRPr="00490120" w:rsidRDefault="00B562DE" w:rsidP="004901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collaborate with colleagues and clients for effective policy action.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</w:rPr>
        <w:t>9.   Competency: Respond to contexts that shape practice. This includes mastery of the following practice behaviors</w:t>
      </w:r>
      <w:r w:rsidRPr="00B562DE">
        <w:rPr>
          <w:rFonts w:ascii="Times New Roman" w:hAnsi="Times New Roman" w:cs="Times New Roman"/>
          <w:sz w:val="24"/>
          <w:szCs w:val="24"/>
        </w:rPr>
        <w:t>:</w:t>
      </w:r>
    </w:p>
    <w:p w:rsidR="00B562DE" w:rsidRPr="00490120" w:rsidRDefault="00B562DE" w:rsidP="0049012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lastRenderedPageBreak/>
        <w:t>Ability to continuously discover, appraise, and attend to changing locales, populations, scientific and technological developments and emerging social trends to provide relevant services</w:t>
      </w:r>
    </w:p>
    <w:p w:rsidR="00B562DE" w:rsidRPr="00490120" w:rsidRDefault="00B562DE" w:rsidP="0049012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provide leadership in promoting sustainable changes in service delivery and practice to improve the quality of social services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</w:rPr>
        <w:t xml:space="preserve">10.   Competency: Engage, assess, intervene, and evaluate with individuals, families, groups, organizations and communities. 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A.  Engagement:</w:t>
      </w:r>
      <w:r w:rsidR="00490120"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This includes mastery of the following practice behaviors</w:t>
      </w:r>
      <w:r w:rsidRPr="00B562DE">
        <w:rPr>
          <w:rFonts w:ascii="Times New Roman" w:hAnsi="Times New Roman" w:cs="Times New Roman"/>
          <w:sz w:val="24"/>
          <w:szCs w:val="24"/>
        </w:rPr>
        <w:t>:</w:t>
      </w:r>
    </w:p>
    <w:p w:rsidR="00B562DE" w:rsidRPr="00490120" w:rsidRDefault="00B562DE" w:rsidP="0049012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prepare for action with clients</w:t>
      </w:r>
    </w:p>
    <w:p w:rsidR="00B562DE" w:rsidRPr="00490120" w:rsidRDefault="00B562DE" w:rsidP="0049012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use empathy and other interpersonal skills</w:t>
      </w:r>
    </w:p>
    <w:p w:rsidR="00B562DE" w:rsidRPr="00490120" w:rsidRDefault="00B562DE" w:rsidP="0049012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 xml:space="preserve">Ability to develop a mutually agreed-on focus of work and desired outcomes. 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B.  Assessment:</w:t>
      </w:r>
      <w:r w:rsidR="00490120"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This includes mastery of the following practice behaviors:</w:t>
      </w:r>
    </w:p>
    <w:p w:rsidR="00B562DE" w:rsidRPr="00490120" w:rsidRDefault="00B562DE" w:rsidP="0049012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collect, organize, and interpret client data in regard to practice.</w:t>
      </w:r>
    </w:p>
    <w:p w:rsidR="00B562DE" w:rsidRPr="00490120" w:rsidRDefault="00B562DE" w:rsidP="0049012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assess client strengths and limitations</w:t>
      </w:r>
    </w:p>
    <w:p w:rsidR="00B562DE" w:rsidRPr="00490120" w:rsidRDefault="00B562DE" w:rsidP="0049012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develop mutually agreed-on intervention goals and objectives</w:t>
      </w:r>
    </w:p>
    <w:p w:rsidR="00B562DE" w:rsidRPr="00490120" w:rsidRDefault="00B562DE" w:rsidP="0049012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select appropriate intervention strategies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C.  Intervention:This includes mastery of the following practice behaviors:</w:t>
      </w:r>
    </w:p>
    <w:p w:rsidR="00B562DE" w:rsidRPr="00490120" w:rsidRDefault="00B562DE" w:rsidP="0049012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initiate actions to achieve organizational goals.</w:t>
      </w:r>
    </w:p>
    <w:p w:rsidR="00B562DE" w:rsidRPr="00490120" w:rsidRDefault="00B562DE" w:rsidP="0049012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implement prevention interventions that enhance client capacities.</w:t>
      </w:r>
    </w:p>
    <w:p w:rsidR="00B562DE" w:rsidRPr="00490120" w:rsidRDefault="00B562DE" w:rsidP="0049012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help clients resolve problems</w:t>
      </w:r>
    </w:p>
    <w:p w:rsidR="00B562DE" w:rsidRPr="00490120" w:rsidRDefault="00B562DE" w:rsidP="0049012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negotiate, mediate and advocate for clients</w:t>
      </w:r>
    </w:p>
    <w:p w:rsidR="00B562DE" w:rsidRPr="00490120" w:rsidRDefault="00B562DE" w:rsidP="0049012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facilitate transitions/endings.</w:t>
      </w:r>
    </w:p>
    <w:p w:rsidR="00B562DE" w:rsidRPr="00490120" w:rsidRDefault="00B562DE" w:rsidP="00B562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120">
        <w:rPr>
          <w:rFonts w:ascii="Times New Roman" w:hAnsi="Times New Roman" w:cs="Times New Roman"/>
          <w:b/>
          <w:bCs/>
          <w:sz w:val="24"/>
          <w:szCs w:val="24"/>
          <w:u w:val="single"/>
        </w:rPr>
        <w:t>D. Evaluation:This includes mastery of the following practice behaviors:</w:t>
      </w:r>
    </w:p>
    <w:p w:rsidR="00B562DE" w:rsidRPr="00490120" w:rsidRDefault="00B562DE" w:rsidP="0049012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120">
        <w:rPr>
          <w:rFonts w:ascii="Times New Roman" w:hAnsi="Times New Roman" w:cs="Times New Roman"/>
          <w:sz w:val="24"/>
          <w:szCs w:val="24"/>
        </w:rPr>
        <w:t>Ability to critically analyze, monitor and evaluate interventions.</w:t>
      </w:r>
    </w:p>
    <w:p w:rsidR="00B562DE" w:rsidRPr="00B562DE" w:rsidRDefault="00B562DE" w:rsidP="00B562DE">
      <w:pPr>
        <w:jc w:val="both"/>
        <w:rPr>
          <w:rFonts w:ascii="Times New Roman" w:hAnsi="Times New Roman" w:cs="Times New Roman"/>
          <w:sz w:val="24"/>
          <w:szCs w:val="24"/>
        </w:rPr>
      </w:pPr>
      <w:r w:rsidRPr="00B562DE">
        <w:rPr>
          <w:rFonts w:ascii="Times New Roman" w:hAnsi="Times New Roman" w:cs="Times New Roman"/>
          <w:sz w:val="24"/>
          <w:szCs w:val="24"/>
        </w:rPr>
        <w:t>Mastery of these competencies and attendant practice behaviors is achieved through course readings, discussion, activities and assignments as well as through field internship experiences over the course of the pro</w:t>
      </w:r>
      <w:r w:rsidR="008D7521">
        <w:rPr>
          <w:rFonts w:ascii="Times New Roman" w:hAnsi="Times New Roman" w:cs="Times New Roman"/>
          <w:sz w:val="24"/>
          <w:szCs w:val="24"/>
        </w:rPr>
        <w:t xml:space="preserve"> </w:t>
      </w:r>
      <w:r w:rsidRPr="00B562DE">
        <w:rPr>
          <w:rFonts w:ascii="Times New Roman" w:hAnsi="Times New Roman" w:cs="Times New Roman"/>
          <w:sz w:val="24"/>
          <w:szCs w:val="24"/>
        </w:rPr>
        <w:t>gram.  Competence is assessed annually.</w:t>
      </w:r>
    </w:p>
    <w:sectPr w:rsidR="00B562DE" w:rsidRPr="00B562DE" w:rsidSect="0079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A2D"/>
    <w:multiLevelType w:val="hybridMultilevel"/>
    <w:tmpl w:val="7C7E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1EB"/>
    <w:multiLevelType w:val="hybridMultilevel"/>
    <w:tmpl w:val="2B1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6A02"/>
    <w:multiLevelType w:val="hybridMultilevel"/>
    <w:tmpl w:val="5078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10E8"/>
    <w:multiLevelType w:val="hybridMultilevel"/>
    <w:tmpl w:val="A112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75065"/>
    <w:multiLevelType w:val="hybridMultilevel"/>
    <w:tmpl w:val="185A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B01"/>
    <w:multiLevelType w:val="hybridMultilevel"/>
    <w:tmpl w:val="9B16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018DC"/>
    <w:multiLevelType w:val="hybridMultilevel"/>
    <w:tmpl w:val="CE22A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5026"/>
    <w:multiLevelType w:val="hybridMultilevel"/>
    <w:tmpl w:val="269C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44C7E"/>
    <w:multiLevelType w:val="hybridMultilevel"/>
    <w:tmpl w:val="6614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B6E54"/>
    <w:multiLevelType w:val="hybridMultilevel"/>
    <w:tmpl w:val="A948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40BE9"/>
    <w:multiLevelType w:val="hybridMultilevel"/>
    <w:tmpl w:val="4AA2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3061D"/>
    <w:multiLevelType w:val="hybridMultilevel"/>
    <w:tmpl w:val="8F58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22605"/>
    <w:multiLevelType w:val="hybridMultilevel"/>
    <w:tmpl w:val="8BF8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B562DE"/>
    <w:rsid w:val="00051B0F"/>
    <w:rsid w:val="00085411"/>
    <w:rsid w:val="0027293C"/>
    <w:rsid w:val="00462E81"/>
    <w:rsid w:val="00490120"/>
    <w:rsid w:val="00505C55"/>
    <w:rsid w:val="007903F0"/>
    <w:rsid w:val="007E3AFB"/>
    <w:rsid w:val="0081219B"/>
    <w:rsid w:val="008525E3"/>
    <w:rsid w:val="008662DF"/>
    <w:rsid w:val="008D7521"/>
    <w:rsid w:val="00B25486"/>
    <w:rsid w:val="00B562DE"/>
    <w:rsid w:val="00CC2CAF"/>
    <w:rsid w:val="00D6043A"/>
    <w:rsid w:val="00F4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DE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5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s.dauniv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s.dav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2023-04-08T07:33:00Z</dcterms:created>
  <dcterms:modified xsi:type="dcterms:W3CDTF">2023-04-08T08:01:00Z</dcterms:modified>
</cp:coreProperties>
</file>