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8E6" w:rsidRDefault="00D678E6">
      <w:pPr>
        <w:rPr>
          <w:b/>
          <w:sz w:val="36"/>
        </w:rPr>
      </w:pPr>
      <w:r>
        <w:rPr>
          <w:b/>
          <w:sz w:val="36"/>
        </w:rPr>
        <w:t xml:space="preserve">                              </w:t>
      </w:r>
      <w:r w:rsidR="00D81319">
        <w:rPr>
          <w:b/>
          <w:sz w:val="36"/>
        </w:rPr>
        <w:t>INTERSHIP REPORT ON</w:t>
      </w:r>
    </w:p>
    <w:p w:rsidR="004E70F5" w:rsidRDefault="00D678E6">
      <w:pPr>
        <w:rPr>
          <w:b/>
          <w:sz w:val="36"/>
        </w:rPr>
      </w:pPr>
      <w:r>
        <w:rPr>
          <w:b/>
          <w:sz w:val="36"/>
        </w:rPr>
        <w:t xml:space="preserve">                              </w:t>
      </w:r>
      <w:r w:rsidRPr="00D678E6">
        <w:rPr>
          <w:b/>
          <w:sz w:val="36"/>
        </w:rPr>
        <w:t xml:space="preserve"> </w:t>
      </w:r>
      <w:r w:rsidR="00D81319">
        <w:rPr>
          <w:b/>
          <w:sz w:val="36"/>
        </w:rPr>
        <w:t xml:space="preserve">  </w:t>
      </w:r>
      <w:r w:rsidRPr="00D678E6">
        <w:rPr>
          <w:b/>
          <w:sz w:val="36"/>
        </w:rPr>
        <w:t>J.P.MORGAN &amp; CO.</w:t>
      </w:r>
    </w:p>
    <w:p w:rsidR="00D81319" w:rsidRDefault="00D81319">
      <w:pPr>
        <w:rPr>
          <w:b/>
          <w:sz w:val="36"/>
        </w:rPr>
      </w:pPr>
    </w:p>
    <w:p w:rsidR="00D81319" w:rsidRDefault="00D81319">
      <w:pPr>
        <w:rPr>
          <w:b/>
          <w:sz w:val="36"/>
        </w:rPr>
      </w:pPr>
      <w:r>
        <w:rPr>
          <w:b/>
          <w:sz w:val="36"/>
        </w:rPr>
        <w:t xml:space="preserve">                     </w:t>
      </w:r>
      <w:r>
        <w:rPr>
          <w:b/>
          <w:noProof/>
          <w:sz w:val="36"/>
        </w:rPr>
        <w:drawing>
          <wp:inline distT="0" distB="0" distL="0" distR="0">
            <wp:extent cx="2730500" cy="1517650"/>
            <wp:effectExtent l="0" t="0" r="0" b="0"/>
            <wp:docPr id="7" name="Picture 6" descr="JP-Morgan-Chas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Morgan-Chase-Emblem.png"/>
                    <pic:cNvPicPr/>
                  </pic:nvPicPr>
                  <pic:blipFill>
                    <a:blip r:embed="rId5" cstate="print"/>
                    <a:stretch>
                      <a:fillRect/>
                    </a:stretch>
                  </pic:blipFill>
                  <pic:spPr>
                    <a:xfrm>
                      <a:off x="0" y="0"/>
                      <a:ext cx="2730500" cy="1517650"/>
                    </a:xfrm>
                    <a:prstGeom prst="rect">
                      <a:avLst/>
                    </a:prstGeom>
                  </pic:spPr>
                </pic:pic>
              </a:graphicData>
            </a:graphic>
          </wp:inline>
        </w:drawing>
      </w:r>
    </w:p>
    <w:p w:rsidR="00D678E6" w:rsidRDefault="00D678E6">
      <w:pPr>
        <w:rPr>
          <w:b/>
          <w:noProof/>
          <w:sz w:val="36"/>
        </w:rPr>
      </w:pPr>
      <w:r>
        <w:rPr>
          <w:b/>
          <w:sz w:val="36"/>
        </w:rPr>
        <w:t xml:space="preserve">                   </w:t>
      </w:r>
      <w:r>
        <w:rPr>
          <w:b/>
          <w:noProof/>
          <w:sz w:val="36"/>
        </w:rPr>
        <w:t>DEVI AHILIYA VISHWAVIDYALAYA</w:t>
      </w:r>
    </w:p>
    <w:p w:rsidR="00D678E6" w:rsidRDefault="00D678E6">
      <w:pPr>
        <w:rPr>
          <w:b/>
          <w:sz w:val="36"/>
        </w:rPr>
      </w:pPr>
      <w:r>
        <w:rPr>
          <w:b/>
          <w:sz w:val="36"/>
        </w:rPr>
        <w:t xml:space="preserve">                                </w:t>
      </w:r>
      <w:r>
        <w:rPr>
          <w:b/>
          <w:noProof/>
          <w:sz w:val="36"/>
        </w:rPr>
        <w:drawing>
          <wp:inline distT="0" distB="0" distL="0" distR="0">
            <wp:extent cx="1524000" cy="1524000"/>
            <wp:effectExtent l="19050" t="0" r="0" b="0"/>
            <wp:docPr id="6" name="Picture 5" descr="Devi_Ahilya_Vishwavidyalay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_Ahilya_Vishwavidyalaya_Logo.png"/>
                    <pic:cNvPicPr/>
                  </pic:nvPicPr>
                  <pic:blipFill>
                    <a:blip r:embed="rId6"/>
                    <a:stretch>
                      <a:fillRect/>
                    </a:stretch>
                  </pic:blipFill>
                  <pic:spPr>
                    <a:xfrm>
                      <a:off x="0" y="0"/>
                      <a:ext cx="1524000" cy="1524000"/>
                    </a:xfrm>
                    <a:prstGeom prst="rect">
                      <a:avLst/>
                    </a:prstGeom>
                  </pic:spPr>
                </pic:pic>
              </a:graphicData>
            </a:graphic>
          </wp:inline>
        </w:drawing>
      </w:r>
    </w:p>
    <w:p w:rsidR="00D678E6" w:rsidRDefault="00D81319">
      <w:pPr>
        <w:rPr>
          <w:b/>
          <w:sz w:val="36"/>
        </w:rPr>
      </w:pPr>
      <w:r>
        <w:rPr>
          <w:b/>
          <w:sz w:val="36"/>
        </w:rPr>
        <w:t xml:space="preserve">                              Name</w:t>
      </w:r>
      <w:r w:rsidR="00D678E6">
        <w:rPr>
          <w:b/>
          <w:sz w:val="36"/>
        </w:rPr>
        <w:t xml:space="preserve">: </w:t>
      </w:r>
      <w:proofErr w:type="spellStart"/>
      <w:r w:rsidR="00D678E6">
        <w:rPr>
          <w:b/>
          <w:sz w:val="36"/>
        </w:rPr>
        <w:t>Divya</w:t>
      </w:r>
      <w:proofErr w:type="spellEnd"/>
      <w:r w:rsidR="00D678E6">
        <w:rPr>
          <w:b/>
          <w:sz w:val="36"/>
        </w:rPr>
        <w:t xml:space="preserve"> </w:t>
      </w:r>
      <w:proofErr w:type="spellStart"/>
      <w:r w:rsidR="00D678E6">
        <w:rPr>
          <w:b/>
          <w:sz w:val="36"/>
        </w:rPr>
        <w:t>Bhati</w:t>
      </w:r>
      <w:proofErr w:type="spellEnd"/>
    </w:p>
    <w:p w:rsidR="00D678E6" w:rsidRDefault="00D81319">
      <w:pPr>
        <w:rPr>
          <w:b/>
          <w:sz w:val="36"/>
        </w:rPr>
      </w:pPr>
      <w:r>
        <w:rPr>
          <w:b/>
          <w:sz w:val="36"/>
        </w:rPr>
        <w:t xml:space="preserve">                             Roll Number</w:t>
      </w:r>
      <w:r w:rsidR="00D678E6">
        <w:rPr>
          <w:b/>
          <w:sz w:val="36"/>
        </w:rPr>
        <w:t>: 2020963</w:t>
      </w:r>
    </w:p>
    <w:p w:rsidR="00D678E6" w:rsidRDefault="00D81319">
      <w:pPr>
        <w:rPr>
          <w:b/>
          <w:sz w:val="36"/>
        </w:rPr>
      </w:pPr>
      <w:r>
        <w:rPr>
          <w:b/>
          <w:sz w:val="36"/>
        </w:rPr>
        <w:t xml:space="preserve">                     Enrollment Number</w:t>
      </w:r>
      <w:r w:rsidR="00D678E6">
        <w:rPr>
          <w:b/>
          <w:sz w:val="36"/>
        </w:rPr>
        <w:t>: DX2001159</w:t>
      </w:r>
    </w:p>
    <w:p w:rsidR="00D678E6" w:rsidRDefault="00D81319">
      <w:pPr>
        <w:rPr>
          <w:b/>
          <w:sz w:val="36"/>
        </w:rPr>
      </w:pPr>
      <w:r>
        <w:rPr>
          <w:b/>
          <w:sz w:val="36"/>
        </w:rPr>
        <w:t xml:space="preserve">                     Telephone Number: 7067550416</w:t>
      </w:r>
    </w:p>
    <w:p w:rsidR="00D81319" w:rsidRPr="00D678E6" w:rsidRDefault="00D81319">
      <w:pPr>
        <w:rPr>
          <w:b/>
          <w:sz w:val="36"/>
        </w:rPr>
      </w:pPr>
      <w:r>
        <w:rPr>
          <w:b/>
          <w:sz w:val="36"/>
        </w:rPr>
        <w:t xml:space="preserve">                      Submitted To: Dr. Rachna Jain</w:t>
      </w:r>
    </w:p>
    <w:p w:rsidR="004E70F5" w:rsidRDefault="004E70F5">
      <w:r>
        <w:br w:type="page"/>
      </w:r>
    </w:p>
    <w:p w:rsidR="001A5439" w:rsidRDefault="004E70F5">
      <w:pPr>
        <w:rPr>
          <w:b/>
          <w:sz w:val="36"/>
        </w:rPr>
      </w:pPr>
      <w:r>
        <w:rPr>
          <w:b/>
          <w:sz w:val="36"/>
        </w:rPr>
        <w:lastRenderedPageBreak/>
        <w:t xml:space="preserve">                                   </w:t>
      </w:r>
      <w:r w:rsidRPr="004E70F5">
        <w:rPr>
          <w:b/>
          <w:sz w:val="36"/>
        </w:rPr>
        <w:t>Acknowledgement</w:t>
      </w:r>
    </w:p>
    <w:p w:rsidR="00B70F35" w:rsidRDefault="00B70F35">
      <w:pPr>
        <w:rPr>
          <w:b/>
          <w:sz w:val="36"/>
        </w:rPr>
      </w:pPr>
    </w:p>
    <w:p w:rsidR="00B70F35" w:rsidRDefault="00B70F35">
      <w:pPr>
        <w:rPr>
          <w:b/>
          <w:sz w:val="36"/>
        </w:rPr>
      </w:pPr>
    </w:p>
    <w:p w:rsidR="004E70F5" w:rsidRPr="00B70F35" w:rsidRDefault="00B70F35">
      <w:pPr>
        <w:rPr>
          <w:b/>
          <w:sz w:val="28"/>
        </w:rPr>
      </w:pPr>
      <w:r w:rsidRPr="00B70F35">
        <w:rPr>
          <w:b/>
          <w:sz w:val="28"/>
        </w:rPr>
        <w:t>JP MORGAN gave me the opportunity to learn and develop my skills as a professional. I regard myself as a very lucky individual to have been given the chance to participate in this internship program</w:t>
      </w:r>
      <w:r w:rsidRPr="00B70F35">
        <w:rPr>
          <w:b/>
          <w:sz w:val="40"/>
        </w:rPr>
        <w:t xml:space="preserve"> </w:t>
      </w:r>
      <w:r w:rsidRPr="00B70F35">
        <w:rPr>
          <w:b/>
          <w:sz w:val="28"/>
        </w:rPr>
        <w:t>During this internship period, I also got to meet so many great people and professionals who guided me.</w:t>
      </w:r>
    </w:p>
    <w:p w:rsidR="00B70F35" w:rsidRPr="00B70F35" w:rsidRDefault="00B70F35" w:rsidP="00B70F35">
      <w:pPr>
        <w:rPr>
          <w:rFonts w:ascii="Tahoma" w:hAnsi="Tahoma" w:cs="Tahoma"/>
          <w:b/>
          <w:color w:val="333333"/>
          <w:sz w:val="20"/>
          <w:szCs w:val="19"/>
        </w:rPr>
      </w:pPr>
      <w:r w:rsidRPr="00B70F35">
        <w:rPr>
          <w:b/>
          <w:sz w:val="28"/>
        </w:rPr>
        <w:t>In order to achieve my desired career objectives, I expect this opportunity to serve as a significant milestone in my career development. I will strive to use gained skills and knowledge in the best way possible, and continue to improve them as needed.</w:t>
      </w:r>
      <w:r w:rsidRPr="00B70F35">
        <w:rPr>
          <w:rFonts w:ascii="Tahoma" w:hAnsi="Tahoma" w:cs="Tahoma"/>
          <w:b/>
          <w:color w:val="333333"/>
          <w:sz w:val="20"/>
          <w:szCs w:val="19"/>
        </w:rPr>
        <w:t xml:space="preserve"> Hope to continue cooperation with all of you in the future,</w:t>
      </w:r>
    </w:p>
    <w:p w:rsidR="00B70F35" w:rsidRPr="00B70F35" w:rsidRDefault="00B70F35" w:rsidP="00B70F35">
      <w:pPr>
        <w:rPr>
          <w:b/>
          <w:sz w:val="28"/>
        </w:rPr>
      </w:pPr>
      <w:r w:rsidRPr="00B70F35">
        <w:rPr>
          <w:rFonts w:ascii="Tahoma" w:hAnsi="Tahoma" w:cs="Tahoma"/>
          <w:b/>
          <w:color w:val="333333"/>
          <w:sz w:val="20"/>
          <w:szCs w:val="19"/>
        </w:rPr>
        <w:br/>
        <w:t>Sincerely,</w:t>
      </w:r>
    </w:p>
    <w:p w:rsidR="00B70F35" w:rsidRDefault="00B70F35" w:rsidP="00B70F35">
      <w:pPr>
        <w:pStyle w:val="NormalWeb"/>
        <w:shd w:val="clear" w:color="auto" w:fill="FFFFFF"/>
        <w:spacing w:after="360" w:afterAutospacing="0"/>
        <w:rPr>
          <w:rFonts w:ascii="Tahoma" w:hAnsi="Tahoma" w:cs="Tahoma"/>
          <w:b/>
          <w:color w:val="333333"/>
          <w:sz w:val="20"/>
          <w:szCs w:val="19"/>
        </w:rPr>
      </w:pPr>
      <w:proofErr w:type="spellStart"/>
      <w:r w:rsidRPr="00B70F35">
        <w:rPr>
          <w:rFonts w:ascii="Tahoma" w:hAnsi="Tahoma" w:cs="Tahoma"/>
          <w:b/>
          <w:color w:val="333333"/>
          <w:sz w:val="20"/>
          <w:szCs w:val="19"/>
        </w:rPr>
        <w:t>Divya</w:t>
      </w:r>
      <w:proofErr w:type="spellEnd"/>
      <w:r w:rsidRPr="00B70F35">
        <w:rPr>
          <w:rFonts w:ascii="Tahoma" w:hAnsi="Tahoma" w:cs="Tahoma"/>
          <w:b/>
          <w:color w:val="333333"/>
          <w:sz w:val="20"/>
          <w:szCs w:val="19"/>
        </w:rPr>
        <w:t xml:space="preserve"> </w:t>
      </w:r>
      <w:proofErr w:type="spellStart"/>
      <w:r w:rsidRPr="00B70F35">
        <w:rPr>
          <w:rFonts w:ascii="Tahoma" w:hAnsi="Tahoma" w:cs="Tahoma"/>
          <w:b/>
          <w:color w:val="333333"/>
          <w:sz w:val="20"/>
          <w:szCs w:val="19"/>
        </w:rPr>
        <w:t>Bhati</w:t>
      </w:r>
      <w:proofErr w:type="spellEnd"/>
    </w:p>
    <w:p w:rsidR="00B70F35" w:rsidRDefault="00B70F35">
      <w:pPr>
        <w:rPr>
          <w:rFonts w:ascii="Tahoma" w:eastAsia="Times New Roman" w:hAnsi="Tahoma" w:cs="Tahoma"/>
          <w:b/>
          <w:color w:val="333333"/>
          <w:sz w:val="20"/>
          <w:szCs w:val="19"/>
        </w:rPr>
      </w:pPr>
      <w:r>
        <w:rPr>
          <w:rFonts w:ascii="Tahoma" w:hAnsi="Tahoma" w:cs="Tahoma"/>
          <w:b/>
          <w:color w:val="333333"/>
          <w:sz w:val="20"/>
          <w:szCs w:val="19"/>
        </w:rPr>
        <w:br w:type="page"/>
      </w:r>
    </w:p>
    <w:p w:rsidR="00B70F35" w:rsidRDefault="00B70F35" w:rsidP="00B70F35">
      <w:pPr>
        <w:pStyle w:val="NormalWeb"/>
        <w:shd w:val="clear" w:color="auto" w:fill="FFFFFF"/>
        <w:spacing w:after="360" w:afterAutospacing="0"/>
        <w:rPr>
          <w:rFonts w:ascii="Tahoma" w:hAnsi="Tahoma" w:cs="Tahoma"/>
          <w:b/>
          <w:color w:val="333333"/>
          <w:sz w:val="28"/>
          <w:szCs w:val="19"/>
        </w:rPr>
      </w:pPr>
      <w:r>
        <w:rPr>
          <w:rFonts w:ascii="Tahoma" w:hAnsi="Tahoma" w:cs="Tahoma"/>
          <w:b/>
          <w:color w:val="333333"/>
          <w:sz w:val="20"/>
          <w:szCs w:val="19"/>
        </w:rPr>
        <w:lastRenderedPageBreak/>
        <w:t xml:space="preserve">                                                       </w:t>
      </w:r>
      <w:r w:rsidRPr="00B70F35">
        <w:rPr>
          <w:rFonts w:ascii="Tahoma" w:hAnsi="Tahoma" w:cs="Tahoma"/>
          <w:b/>
          <w:color w:val="333333"/>
          <w:sz w:val="28"/>
          <w:szCs w:val="19"/>
        </w:rPr>
        <w:t>List of contents</w:t>
      </w:r>
    </w:p>
    <w:p w:rsidR="0069429F" w:rsidRDefault="0069429F" w:rsidP="00B70F35">
      <w:pPr>
        <w:pStyle w:val="NormalWeb"/>
        <w:shd w:val="clear" w:color="auto" w:fill="FFFFFF"/>
        <w:spacing w:after="360" w:afterAutospacing="0"/>
        <w:rPr>
          <w:rFonts w:ascii="Tahoma" w:hAnsi="Tahoma" w:cs="Tahoma"/>
          <w:b/>
          <w:color w:val="333333"/>
          <w:sz w:val="28"/>
          <w:szCs w:val="19"/>
        </w:rPr>
      </w:pPr>
    </w:p>
    <w:p w:rsidR="00B70F35" w:rsidRPr="0069429F" w:rsidRDefault="00B70F35" w:rsidP="00B70F35">
      <w:pPr>
        <w:pStyle w:val="NormalWeb"/>
        <w:numPr>
          <w:ilvl w:val="0"/>
          <w:numId w:val="1"/>
        </w:numPr>
        <w:shd w:val="clear" w:color="auto" w:fill="FFFFFF"/>
        <w:spacing w:after="360" w:afterAutospacing="0"/>
        <w:rPr>
          <w:rFonts w:ascii="Tahoma" w:hAnsi="Tahoma" w:cs="Tahoma"/>
          <w:b/>
          <w:color w:val="333333"/>
          <w:szCs w:val="19"/>
        </w:rPr>
      </w:pPr>
      <w:r w:rsidRPr="0069429F">
        <w:rPr>
          <w:rFonts w:ascii="Tahoma" w:hAnsi="Tahoma" w:cs="Tahoma"/>
          <w:b/>
          <w:color w:val="333333"/>
          <w:szCs w:val="19"/>
        </w:rPr>
        <w:t>History</w:t>
      </w:r>
    </w:p>
    <w:p w:rsidR="00B70F35" w:rsidRDefault="0069429F" w:rsidP="00B70F35">
      <w:pPr>
        <w:pStyle w:val="NormalWeb"/>
        <w:numPr>
          <w:ilvl w:val="0"/>
          <w:numId w:val="1"/>
        </w:numPr>
        <w:shd w:val="clear" w:color="auto" w:fill="FFFFFF"/>
        <w:spacing w:after="360" w:afterAutospacing="0"/>
        <w:rPr>
          <w:rFonts w:ascii="Tahoma" w:hAnsi="Tahoma" w:cs="Tahoma"/>
          <w:b/>
          <w:color w:val="333333"/>
          <w:szCs w:val="19"/>
        </w:rPr>
      </w:pPr>
      <w:r>
        <w:rPr>
          <w:rFonts w:ascii="Tahoma" w:hAnsi="Tahoma" w:cs="Tahoma"/>
          <w:b/>
          <w:color w:val="333333"/>
          <w:szCs w:val="19"/>
        </w:rPr>
        <w:t>Financial data</w:t>
      </w:r>
    </w:p>
    <w:p w:rsidR="0069429F" w:rsidRDefault="0069429F" w:rsidP="00B70F35">
      <w:pPr>
        <w:pStyle w:val="NormalWeb"/>
        <w:numPr>
          <w:ilvl w:val="0"/>
          <w:numId w:val="1"/>
        </w:numPr>
        <w:shd w:val="clear" w:color="auto" w:fill="FFFFFF"/>
        <w:spacing w:after="360" w:afterAutospacing="0"/>
        <w:rPr>
          <w:rFonts w:ascii="Tahoma" w:hAnsi="Tahoma" w:cs="Tahoma"/>
          <w:b/>
          <w:color w:val="333333"/>
          <w:szCs w:val="19"/>
        </w:rPr>
      </w:pPr>
      <w:r>
        <w:rPr>
          <w:rFonts w:ascii="Tahoma" w:hAnsi="Tahoma" w:cs="Tahoma"/>
          <w:b/>
          <w:color w:val="333333"/>
          <w:szCs w:val="19"/>
        </w:rPr>
        <w:t>CEO-to-worker pay ratio</w:t>
      </w:r>
    </w:p>
    <w:p w:rsidR="0069429F" w:rsidRDefault="0069429F" w:rsidP="00B70F35">
      <w:pPr>
        <w:pStyle w:val="NormalWeb"/>
        <w:numPr>
          <w:ilvl w:val="0"/>
          <w:numId w:val="1"/>
        </w:numPr>
        <w:shd w:val="clear" w:color="auto" w:fill="FFFFFF"/>
        <w:spacing w:after="360" w:afterAutospacing="0"/>
        <w:rPr>
          <w:rFonts w:ascii="Tahoma" w:hAnsi="Tahoma" w:cs="Tahoma"/>
          <w:b/>
          <w:color w:val="333333"/>
          <w:szCs w:val="19"/>
        </w:rPr>
      </w:pPr>
      <w:r>
        <w:rPr>
          <w:rFonts w:ascii="Tahoma" w:hAnsi="Tahoma" w:cs="Tahoma"/>
          <w:b/>
          <w:color w:val="333333"/>
          <w:szCs w:val="19"/>
        </w:rPr>
        <w:t>Structure</w:t>
      </w:r>
    </w:p>
    <w:p w:rsidR="0069429F" w:rsidRDefault="0069429F" w:rsidP="00B70F35">
      <w:pPr>
        <w:pStyle w:val="NormalWeb"/>
        <w:numPr>
          <w:ilvl w:val="0"/>
          <w:numId w:val="1"/>
        </w:numPr>
        <w:shd w:val="clear" w:color="auto" w:fill="FFFFFF"/>
        <w:spacing w:after="360" w:afterAutospacing="0"/>
        <w:rPr>
          <w:rFonts w:ascii="Tahoma" w:hAnsi="Tahoma" w:cs="Tahoma"/>
          <w:b/>
          <w:color w:val="333333"/>
          <w:szCs w:val="19"/>
        </w:rPr>
      </w:pPr>
      <w:r>
        <w:rPr>
          <w:rFonts w:ascii="Tahoma" w:hAnsi="Tahoma" w:cs="Tahoma"/>
          <w:b/>
          <w:color w:val="333333"/>
          <w:szCs w:val="19"/>
        </w:rPr>
        <w:t xml:space="preserve">Divisions </w:t>
      </w:r>
    </w:p>
    <w:p w:rsidR="0069429F" w:rsidRDefault="0069429F" w:rsidP="00B70F35">
      <w:pPr>
        <w:pStyle w:val="NormalWeb"/>
        <w:numPr>
          <w:ilvl w:val="0"/>
          <w:numId w:val="1"/>
        </w:numPr>
        <w:shd w:val="clear" w:color="auto" w:fill="FFFFFF"/>
        <w:spacing w:after="360" w:afterAutospacing="0"/>
        <w:rPr>
          <w:rFonts w:ascii="Tahoma" w:hAnsi="Tahoma" w:cs="Tahoma"/>
          <w:b/>
          <w:color w:val="333333"/>
          <w:szCs w:val="19"/>
        </w:rPr>
      </w:pPr>
      <w:r>
        <w:rPr>
          <w:rFonts w:ascii="Tahoma" w:hAnsi="Tahoma" w:cs="Tahoma"/>
          <w:b/>
          <w:color w:val="333333"/>
          <w:szCs w:val="19"/>
        </w:rPr>
        <w:t>Operations</w:t>
      </w:r>
    </w:p>
    <w:p w:rsidR="0069429F" w:rsidRDefault="0069429F" w:rsidP="00B70F35">
      <w:pPr>
        <w:pStyle w:val="NormalWeb"/>
        <w:numPr>
          <w:ilvl w:val="0"/>
          <w:numId w:val="1"/>
        </w:numPr>
        <w:shd w:val="clear" w:color="auto" w:fill="FFFFFF"/>
        <w:spacing w:after="360" w:afterAutospacing="0"/>
        <w:rPr>
          <w:rFonts w:ascii="Tahoma" w:hAnsi="Tahoma" w:cs="Tahoma"/>
          <w:b/>
          <w:color w:val="333333"/>
          <w:szCs w:val="19"/>
        </w:rPr>
      </w:pPr>
      <w:r>
        <w:rPr>
          <w:rFonts w:ascii="Tahoma" w:hAnsi="Tahoma" w:cs="Tahoma"/>
          <w:b/>
          <w:color w:val="333333"/>
          <w:szCs w:val="19"/>
        </w:rPr>
        <w:t>Lobbying</w:t>
      </w:r>
    </w:p>
    <w:p w:rsidR="0069429F" w:rsidRDefault="0069429F" w:rsidP="00B70F35">
      <w:pPr>
        <w:pStyle w:val="NormalWeb"/>
        <w:numPr>
          <w:ilvl w:val="0"/>
          <w:numId w:val="1"/>
        </w:numPr>
        <w:shd w:val="clear" w:color="auto" w:fill="FFFFFF"/>
        <w:spacing w:after="360" w:afterAutospacing="0"/>
        <w:rPr>
          <w:rFonts w:ascii="Tahoma" w:hAnsi="Tahoma" w:cs="Tahoma"/>
          <w:b/>
          <w:color w:val="333333"/>
          <w:szCs w:val="19"/>
        </w:rPr>
      </w:pPr>
      <w:r>
        <w:rPr>
          <w:rFonts w:ascii="Tahoma" w:hAnsi="Tahoma" w:cs="Tahoma"/>
          <w:b/>
          <w:color w:val="333333"/>
          <w:szCs w:val="19"/>
        </w:rPr>
        <w:t>Offices</w:t>
      </w:r>
    </w:p>
    <w:p w:rsidR="0069429F" w:rsidRDefault="0069429F" w:rsidP="0069429F">
      <w:pPr>
        <w:pStyle w:val="NormalWeb"/>
        <w:numPr>
          <w:ilvl w:val="0"/>
          <w:numId w:val="1"/>
        </w:numPr>
        <w:shd w:val="clear" w:color="auto" w:fill="FFFFFF"/>
        <w:spacing w:after="360" w:afterAutospacing="0"/>
        <w:rPr>
          <w:rFonts w:ascii="Tahoma" w:hAnsi="Tahoma" w:cs="Tahoma"/>
          <w:b/>
          <w:color w:val="333333"/>
          <w:szCs w:val="19"/>
        </w:rPr>
      </w:pPr>
      <w:r>
        <w:rPr>
          <w:rFonts w:ascii="Tahoma" w:hAnsi="Tahoma" w:cs="Tahoma"/>
          <w:b/>
          <w:color w:val="333333"/>
          <w:szCs w:val="19"/>
        </w:rPr>
        <w:t>Credit derivatives</w:t>
      </w:r>
    </w:p>
    <w:p w:rsidR="0069429F" w:rsidRDefault="0069429F" w:rsidP="0069429F">
      <w:pPr>
        <w:pStyle w:val="NormalWeb"/>
        <w:numPr>
          <w:ilvl w:val="0"/>
          <w:numId w:val="1"/>
        </w:numPr>
        <w:shd w:val="clear" w:color="auto" w:fill="FFFFFF"/>
        <w:spacing w:after="360" w:afterAutospacing="0"/>
        <w:rPr>
          <w:rFonts w:ascii="Tahoma" w:hAnsi="Tahoma" w:cs="Tahoma"/>
          <w:b/>
          <w:color w:val="333333"/>
          <w:szCs w:val="19"/>
        </w:rPr>
      </w:pPr>
      <w:r>
        <w:rPr>
          <w:rFonts w:ascii="Tahoma" w:hAnsi="Tahoma" w:cs="Tahoma"/>
          <w:b/>
          <w:color w:val="333333"/>
          <w:szCs w:val="19"/>
        </w:rPr>
        <w:t>Major sponsorships</w:t>
      </w:r>
    </w:p>
    <w:p w:rsidR="0069429F" w:rsidRDefault="0069429F" w:rsidP="0069429F">
      <w:pPr>
        <w:pStyle w:val="NormalWeb"/>
        <w:numPr>
          <w:ilvl w:val="0"/>
          <w:numId w:val="1"/>
        </w:numPr>
        <w:shd w:val="clear" w:color="auto" w:fill="FFFFFF"/>
        <w:spacing w:after="360" w:afterAutospacing="0"/>
        <w:rPr>
          <w:rFonts w:ascii="Tahoma" w:hAnsi="Tahoma" w:cs="Tahoma"/>
          <w:b/>
          <w:color w:val="333333"/>
          <w:szCs w:val="19"/>
        </w:rPr>
      </w:pPr>
      <w:r>
        <w:rPr>
          <w:rFonts w:ascii="Tahoma" w:hAnsi="Tahoma" w:cs="Tahoma"/>
          <w:b/>
          <w:color w:val="333333"/>
          <w:szCs w:val="19"/>
        </w:rPr>
        <w:t>Leadership</w:t>
      </w:r>
    </w:p>
    <w:p w:rsidR="0069429F" w:rsidRDefault="0069429F" w:rsidP="0069429F">
      <w:pPr>
        <w:pStyle w:val="NormalWeb"/>
        <w:numPr>
          <w:ilvl w:val="0"/>
          <w:numId w:val="1"/>
        </w:numPr>
        <w:shd w:val="clear" w:color="auto" w:fill="FFFFFF"/>
        <w:spacing w:after="360" w:afterAutospacing="0"/>
        <w:rPr>
          <w:rFonts w:ascii="Tahoma" w:hAnsi="Tahoma" w:cs="Tahoma"/>
          <w:b/>
          <w:color w:val="333333"/>
          <w:szCs w:val="19"/>
        </w:rPr>
      </w:pPr>
      <w:r>
        <w:rPr>
          <w:rFonts w:ascii="Tahoma" w:hAnsi="Tahoma" w:cs="Tahoma"/>
          <w:b/>
          <w:color w:val="333333"/>
          <w:szCs w:val="19"/>
        </w:rPr>
        <w:t xml:space="preserve">Awards </w:t>
      </w:r>
    </w:p>
    <w:p w:rsidR="0069429F" w:rsidRDefault="0069429F" w:rsidP="0069429F">
      <w:pPr>
        <w:pStyle w:val="NormalWeb"/>
        <w:shd w:val="clear" w:color="auto" w:fill="FFFFFF"/>
        <w:spacing w:after="360" w:afterAutospacing="0"/>
        <w:ind w:left="720"/>
        <w:rPr>
          <w:rFonts w:ascii="Tahoma" w:hAnsi="Tahoma" w:cs="Tahoma"/>
          <w:b/>
          <w:color w:val="333333"/>
          <w:szCs w:val="19"/>
        </w:rPr>
      </w:pPr>
    </w:p>
    <w:p w:rsidR="0069429F" w:rsidRDefault="0069429F">
      <w:pPr>
        <w:rPr>
          <w:rFonts w:ascii="Tahoma" w:eastAsia="Times New Roman" w:hAnsi="Tahoma" w:cs="Tahoma"/>
          <w:b/>
          <w:color w:val="333333"/>
          <w:sz w:val="24"/>
          <w:szCs w:val="19"/>
        </w:rPr>
      </w:pPr>
      <w:r>
        <w:rPr>
          <w:rFonts w:ascii="Tahoma" w:hAnsi="Tahoma" w:cs="Tahoma"/>
          <w:b/>
          <w:color w:val="333333"/>
          <w:szCs w:val="19"/>
        </w:rPr>
        <w:br w:type="page"/>
      </w:r>
    </w:p>
    <w:p w:rsidR="0069429F" w:rsidRDefault="00DA4693" w:rsidP="0069429F">
      <w:pPr>
        <w:pStyle w:val="NormalWeb"/>
        <w:shd w:val="clear" w:color="auto" w:fill="FFFFFF"/>
        <w:spacing w:after="360" w:afterAutospacing="0"/>
        <w:ind w:left="720"/>
        <w:rPr>
          <w:rFonts w:ascii="Tahoma" w:hAnsi="Tahoma" w:cs="Tahoma"/>
          <w:b/>
          <w:color w:val="333333"/>
          <w:sz w:val="36"/>
          <w:szCs w:val="19"/>
        </w:rPr>
      </w:pPr>
      <w:r w:rsidRPr="00DA4693">
        <w:rPr>
          <w:rFonts w:ascii="Tahoma" w:hAnsi="Tahoma" w:cs="Tahoma"/>
          <w:b/>
          <w:color w:val="333333"/>
          <w:sz w:val="36"/>
          <w:szCs w:val="19"/>
        </w:rPr>
        <w:lastRenderedPageBreak/>
        <w:t xml:space="preserve">          </w:t>
      </w:r>
      <w:r>
        <w:rPr>
          <w:rFonts w:ascii="Tahoma" w:hAnsi="Tahoma" w:cs="Tahoma"/>
          <w:b/>
          <w:color w:val="333333"/>
          <w:sz w:val="36"/>
          <w:szCs w:val="19"/>
        </w:rPr>
        <w:t xml:space="preserve">           </w:t>
      </w:r>
      <w:r w:rsidRPr="00DA4693">
        <w:rPr>
          <w:rFonts w:ascii="Tahoma" w:hAnsi="Tahoma" w:cs="Tahoma"/>
          <w:b/>
          <w:color w:val="333333"/>
          <w:sz w:val="36"/>
          <w:szCs w:val="19"/>
        </w:rPr>
        <w:t xml:space="preserve"> </w:t>
      </w:r>
      <w:r>
        <w:rPr>
          <w:rFonts w:ascii="Tahoma" w:hAnsi="Tahoma" w:cs="Tahoma"/>
          <w:b/>
          <w:color w:val="333333"/>
          <w:sz w:val="36"/>
          <w:szCs w:val="19"/>
        </w:rPr>
        <w:t>INTRODUCTION</w:t>
      </w:r>
    </w:p>
    <w:p w:rsidR="00D81319" w:rsidRDefault="00D81319" w:rsidP="0069429F">
      <w:pPr>
        <w:pStyle w:val="NormalWeb"/>
        <w:shd w:val="clear" w:color="auto" w:fill="FFFFFF"/>
        <w:spacing w:after="360" w:afterAutospacing="0"/>
        <w:ind w:left="720"/>
        <w:rPr>
          <w:rFonts w:ascii="Tahoma" w:hAnsi="Tahoma" w:cs="Tahoma"/>
          <w:b/>
          <w:color w:val="333333"/>
          <w:sz w:val="36"/>
          <w:szCs w:val="19"/>
        </w:rPr>
      </w:pPr>
      <w:r>
        <w:rPr>
          <w:rFonts w:ascii="Tahoma" w:hAnsi="Tahoma" w:cs="Tahoma"/>
          <w:b/>
          <w:color w:val="333333"/>
          <w:sz w:val="36"/>
          <w:szCs w:val="19"/>
        </w:rPr>
        <w:t xml:space="preserve">             </w:t>
      </w:r>
      <w:r w:rsidRPr="00D81319">
        <w:rPr>
          <w:rFonts w:ascii="Tahoma" w:hAnsi="Tahoma" w:cs="Tahoma"/>
          <w:b/>
          <w:color w:val="333333"/>
          <w:sz w:val="36"/>
          <w:szCs w:val="19"/>
        </w:rPr>
        <w:drawing>
          <wp:inline distT="0" distB="0" distL="0" distR="0">
            <wp:extent cx="2997200" cy="2006600"/>
            <wp:effectExtent l="19050" t="0" r="0" b="0"/>
            <wp:docPr id="9" name="Picture 7" descr="download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7).jpg"/>
                    <pic:cNvPicPr/>
                  </pic:nvPicPr>
                  <pic:blipFill>
                    <a:blip r:embed="rId7"/>
                    <a:stretch>
                      <a:fillRect/>
                    </a:stretch>
                  </pic:blipFill>
                  <pic:spPr>
                    <a:xfrm>
                      <a:off x="0" y="0"/>
                      <a:ext cx="2997200" cy="2006600"/>
                    </a:xfrm>
                    <a:prstGeom prst="rect">
                      <a:avLst/>
                    </a:prstGeom>
                  </pic:spPr>
                </pic:pic>
              </a:graphicData>
            </a:graphic>
          </wp:inline>
        </w:drawing>
      </w:r>
    </w:p>
    <w:p w:rsidR="00DA4693" w:rsidRDefault="00DA4693" w:rsidP="00D81319">
      <w:pPr>
        <w:pStyle w:val="NormalWeb"/>
        <w:shd w:val="clear" w:color="auto" w:fill="FFFFFF"/>
        <w:spacing w:after="360" w:afterAutospacing="0"/>
        <w:rPr>
          <w:rFonts w:ascii="Arial Narrow" w:hAnsi="Arial Narrow"/>
          <w:b/>
          <w:color w:val="5F5D5D"/>
          <w:spacing w:val="3"/>
          <w:sz w:val="28"/>
          <w:szCs w:val="17"/>
          <w:shd w:val="clear" w:color="auto" w:fill="FFFFFF"/>
        </w:rPr>
      </w:pPr>
      <w:proofErr w:type="gramStart"/>
      <w:r w:rsidRPr="00DA4693">
        <w:rPr>
          <w:rFonts w:ascii="Arial Narrow" w:hAnsi="Arial Narrow"/>
          <w:b/>
          <w:color w:val="5F5D5D"/>
          <w:spacing w:val="3"/>
          <w:sz w:val="28"/>
          <w:szCs w:val="17"/>
          <w:shd w:val="clear" w:color="auto" w:fill="FFFFFF"/>
        </w:rPr>
        <w:t>J.P. Morgan is a global leader in financial services, offering solutions to the world's most important corporations, governments and institutions in more than 100 countries.</w:t>
      </w:r>
      <w:proofErr w:type="gramEnd"/>
      <w:r w:rsidRPr="00DA4693">
        <w:rPr>
          <w:rFonts w:ascii="Arial Narrow" w:hAnsi="Arial Narrow"/>
          <w:b/>
          <w:color w:val="5F5D5D"/>
          <w:spacing w:val="3"/>
          <w:sz w:val="28"/>
          <w:szCs w:val="17"/>
          <w:shd w:val="clear" w:color="auto" w:fill="FFFFFF"/>
        </w:rPr>
        <w:t xml:space="preserve"> As announced in early 2018, JPMorgan Chase will deploy $1.75 billion in philanthropic capital around the world by 2023. We also lead volunteer service activities for employees in local communities by utilizing our many resources, including those that stem from access to capital, economies of scale, global reach and expertise.</w:t>
      </w:r>
      <w:r>
        <w:rPr>
          <w:rFonts w:ascii="Arial Narrow" w:hAnsi="Arial Narrow"/>
          <w:b/>
          <w:color w:val="5F5D5D"/>
          <w:spacing w:val="3"/>
          <w:sz w:val="28"/>
          <w:szCs w:val="17"/>
          <w:shd w:val="clear" w:color="auto" w:fill="FFFFFF"/>
        </w:rPr>
        <w:t xml:space="preserve">  </w:t>
      </w:r>
    </w:p>
    <w:p w:rsidR="00DA4693" w:rsidRDefault="00DA4693" w:rsidP="00DA4693">
      <w:pPr>
        <w:pStyle w:val="NormalWeb"/>
        <w:spacing w:before="0" w:beforeAutospacing="0" w:after="0" w:afterAutospacing="0"/>
        <w:rPr>
          <w:rFonts w:ascii="Arial Narrow" w:hAnsi="Arial Narrow"/>
          <w:b/>
          <w:bCs/>
          <w:color w:val="5F5D5D"/>
          <w:sz w:val="40"/>
          <w:szCs w:val="36"/>
        </w:rPr>
      </w:pPr>
      <w:r>
        <w:rPr>
          <w:rFonts w:ascii="Arial Narrow" w:hAnsi="Arial Narrow"/>
          <w:color w:val="484646"/>
          <w:sz w:val="17"/>
          <w:szCs w:val="17"/>
        </w:rPr>
        <w:t xml:space="preserve">.          </w:t>
      </w:r>
      <w:r w:rsidRPr="00DA4693">
        <w:rPr>
          <w:rFonts w:ascii="Arial Narrow" w:hAnsi="Arial Narrow"/>
          <w:b/>
          <w:bCs/>
          <w:color w:val="5F5D5D"/>
          <w:sz w:val="40"/>
          <w:szCs w:val="36"/>
        </w:rPr>
        <w:t>Corporate Responsibility</w:t>
      </w:r>
    </w:p>
    <w:p w:rsidR="00DA4693" w:rsidRDefault="00DA4693" w:rsidP="00DA4693">
      <w:pPr>
        <w:pStyle w:val="Heading3"/>
        <w:numPr>
          <w:ilvl w:val="0"/>
          <w:numId w:val="2"/>
        </w:numPr>
        <w:spacing w:line="360" w:lineRule="atLeast"/>
        <w:rPr>
          <w:rFonts w:ascii="Arial Narrow" w:hAnsi="Arial Narrow"/>
          <w:b w:val="0"/>
          <w:bCs w:val="0"/>
          <w:color w:val="484646"/>
        </w:rPr>
      </w:pPr>
      <w:r>
        <w:rPr>
          <w:rFonts w:ascii="Arial Narrow" w:hAnsi="Arial Narrow"/>
          <w:b w:val="0"/>
          <w:bCs w:val="0"/>
          <w:color w:val="484646"/>
        </w:rPr>
        <w:t>Initiatives</w:t>
      </w:r>
    </w:p>
    <w:p w:rsidR="00DA4693" w:rsidRPr="00DA4693" w:rsidRDefault="00DA4693" w:rsidP="00DA4693"/>
    <w:p w:rsidR="00DA4693" w:rsidRPr="00DA4693" w:rsidRDefault="00DA4693" w:rsidP="00DA4693">
      <w:pPr>
        <w:pStyle w:val="NormalWeb"/>
        <w:spacing w:before="0" w:beforeAutospacing="0" w:after="0" w:afterAutospacing="0"/>
        <w:rPr>
          <w:rFonts w:ascii="Arial Narrow" w:hAnsi="Arial Narrow"/>
          <w:b/>
          <w:color w:val="484646"/>
          <w:sz w:val="18"/>
          <w:szCs w:val="17"/>
        </w:rPr>
      </w:pPr>
      <w:r w:rsidRPr="00DA4693">
        <w:rPr>
          <w:rFonts w:ascii="Arial Narrow" w:hAnsi="Arial Narrow"/>
          <w:b/>
          <w:color w:val="484646"/>
          <w:sz w:val="18"/>
          <w:szCs w:val="17"/>
        </w:rPr>
        <w:t>We invest in our communities and partner with local organizations to provide creative solutions that respond to neighborhood development needs</w:t>
      </w:r>
    </w:p>
    <w:p w:rsidR="00DA4693" w:rsidRDefault="00DA4693" w:rsidP="00DA4693">
      <w:pPr>
        <w:pStyle w:val="Heading3"/>
        <w:numPr>
          <w:ilvl w:val="0"/>
          <w:numId w:val="2"/>
        </w:numPr>
        <w:spacing w:line="360" w:lineRule="atLeast"/>
        <w:rPr>
          <w:rFonts w:ascii="Arial Narrow" w:hAnsi="Arial Narrow"/>
          <w:b w:val="0"/>
          <w:bCs w:val="0"/>
          <w:color w:val="484646"/>
        </w:rPr>
      </w:pPr>
      <w:r>
        <w:rPr>
          <w:rFonts w:ascii="Arial Narrow" w:hAnsi="Arial Narrow"/>
          <w:b w:val="0"/>
          <w:bCs w:val="0"/>
          <w:color w:val="484646"/>
        </w:rPr>
        <w:t>Strengthening Communities</w:t>
      </w:r>
    </w:p>
    <w:p w:rsidR="00DA4693" w:rsidRPr="00DA4693" w:rsidRDefault="00DA4693" w:rsidP="00DA4693"/>
    <w:p w:rsidR="00DA4693" w:rsidRPr="00DA4693" w:rsidRDefault="00DA4693" w:rsidP="00DA4693">
      <w:pPr>
        <w:pStyle w:val="NormalWeb"/>
        <w:spacing w:before="0" w:beforeAutospacing="0" w:after="0" w:afterAutospacing="0"/>
        <w:rPr>
          <w:rFonts w:ascii="Arial Narrow" w:hAnsi="Arial Narrow"/>
          <w:b/>
          <w:color w:val="484646"/>
          <w:sz w:val="18"/>
          <w:szCs w:val="17"/>
        </w:rPr>
      </w:pPr>
      <w:r w:rsidRPr="00DA4693">
        <w:rPr>
          <w:rFonts w:ascii="Arial Narrow" w:hAnsi="Arial Narrow"/>
          <w:b/>
          <w:color w:val="484646"/>
          <w:sz w:val="18"/>
          <w:szCs w:val="17"/>
        </w:rPr>
        <w:t>In 2019, JPMorgan Chase deployed nearly $324.5 million in global philanthropic and business investments, and employees volunteered approximately 468,000 hours in their communities.</w:t>
      </w:r>
    </w:p>
    <w:p w:rsidR="00DA4693" w:rsidRDefault="00DA4693" w:rsidP="00DA4693">
      <w:pPr>
        <w:pStyle w:val="Heading3"/>
        <w:numPr>
          <w:ilvl w:val="0"/>
          <w:numId w:val="2"/>
        </w:numPr>
        <w:spacing w:line="360" w:lineRule="atLeast"/>
        <w:rPr>
          <w:rFonts w:ascii="Arial Narrow" w:hAnsi="Arial Narrow"/>
          <w:b w:val="0"/>
          <w:bCs w:val="0"/>
          <w:color w:val="484646"/>
        </w:rPr>
      </w:pPr>
      <w:r>
        <w:rPr>
          <w:rFonts w:ascii="Arial Narrow" w:hAnsi="Arial Narrow"/>
          <w:b w:val="0"/>
          <w:bCs w:val="0"/>
          <w:color w:val="484646"/>
        </w:rPr>
        <w:t>Environmental Sustainability</w:t>
      </w:r>
    </w:p>
    <w:p w:rsidR="00DA4693" w:rsidRPr="00DA4693" w:rsidRDefault="00DA4693" w:rsidP="00DA4693"/>
    <w:p w:rsidR="00DA4693" w:rsidRPr="00DA4693" w:rsidRDefault="00DA4693" w:rsidP="00DA4693">
      <w:pPr>
        <w:pStyle w:val="NormalWeb"/>
        <w:spacing w:before="0" w:beforeAutospacing="0" w:after="0" w:afterAutospacing="0"/>
        <w:rPr>
          <w:rFonts w:ascii="Arial Narrow" w:hAnsi="Arial Narrow"/>
          <w:b/>
          <w:color w:val="484646"/>
          <w:sz w:val="20"/>
          <w:szCs w:val="17"/>
        </w:rPr>
      </w:pPr>
      <w:r w:rsidRPr="00DA4693">
        <w:rPr>
          <w:rFonts w:ascii="Arial Narrow" w:hAnsi="Arial Narrow"/>
          <w:b/>
          <w:color w:val="484646"/>
          <w:sz w:val="20"/>
          <w:szCs w:val="17"/>
        </w:rPr>
        <w:t>Our leading scale and expertise help us reduce environmental risks while generating new opportunities to create a more sustainable global economy.</w:t>
      </w:r>
    </w:p>
    <w:p w:rsidR="00DA4693" w:rsidRPr="00DA4693" w:rsidRDefault="00DA4693" w:rsidP="00DA4693">
      <w:pPr>
        <w:pStyle w:val="NormalWeb"/>
        <w:shd w:val="clear" w:color="auto" w:fill="FFFFFF"/>
        <w:spacing w:after="360" w:afterAutospacing="0"/>
        <w:ind w:left="720"/>
        <w:rPr>
          <w:rFonts w:ascii="Arial Narrow" w:hAnsi="Arial Narrow"/>
          <w:b/>
          <w:color w:val="5F5D5D"/>
          <w:spacing w:val="3"/>
          <w:sz w:val="40"/>
          <w:szCs w:val="17"/>
          <w:shd w:val="clear" w:color="auto" w:fill="FFFFFF"/>
        </w:rPr>
      </w:pPr>
    </w:p>
    <w:p w:rsidR="00DA4693" w:rsidRDefault="00DA4693">
      <w:pPr>
        <w:rPr>
          <w:rFonts w:ascii="Tahoma" w:eastAsia="Times New Roman" w:hAnsi="Tahoma" w:cs="Tahoma"/>
          <w:b/>
          <w:color w:val="333333"/>
          <w:sz w:val="36"/>
          <w:szCs w:val="19"/>
        </w:rPr>
      </w:pPr>
    </w:p>
    <w:p w:rsidR="00DA4693" w:rsidRDefault="00DA4693" w:rsidP="0069429F">
      <w:pPr>
        <w:pStyle w:val="NormalWeb"/>
        <w:shd w:val="clear" w:color="auto" w:fill="FFFFFF"/>
        <w:spacing w:after="360" w:afterAutospacing="0"/>
        <w:ind w:left="720"/>
        <w:rPr>
          <w:rFonts w:ascii="Tahoma" w:hAnsi="Tahoma" w:cs="Tahoma"/>
          <w:b/>
          <w:color w:val="333333"/>
          <w:sz w:val="36"/>
          <w:szCs w:val="19"/>
        </w:rPr>
      </w:pPr>
      <w:r>
        <w:rPr>
          <w:rFonts w:ascii="Tahoma" w:hAnsi="Tahoma" w:cs="Tahoma"/>
          <w:b/>
          <w:color w:val="333333"/>
          <w:sz w:val="36"/>
          <w:szCs w:val="19"/>
        </w:rPr>
        <w:t xml:space="preserve">                        HISTORY</w:t>
      </w:r>
    </w:p>
    <w:p w:rsidR="00DA4693" w:rsidRPr="00710C35" w:rsidRDefault="00710C35" w:rsidP="00710C35">
      <w:pPr>
        <w:pStyle w:val="NormalWeb"/>
        <w:shd w:val="clear" w:color="auto" w:fill="FFFFFF"/>
        <w:spacing w:after="360" w:afterAutospacing="0"/>
        <w:rPr>
          <w:rFonts w:ascii="Tahoma" w:hAnsi="Tahoma" w:cs="Tahoma"/>
          <w:color w:val="333333"/>
          <w:szCs w:val="19"/>
        </w:rPr>
      </w:pPr>
      <w:r w:rsidRPr="00710C35">
        <w:rPr>
          <w:rFonts w:ascii="Tahoma" w:hAnsi="Tahoma" w:cs="Tahoma"/>
          <w:color w:val="333333"/>
          <w:szCs w:val="19"/>
        </w:rPr>
        <w:t>In its current form, JPMorgan Chase has been formed by combining several large U.S. banks, including Chase Manhattan Bank, J.P. Morgan, Bank One, Bear Stearns and Washington Mutual, since 1996.</w:t>
      </w:r>
      <w:r w:rsidRPr="00710C35">
        <w:rPr>
          <w:sz w:val="22"/>
        </w:rPr>
        <w:t xml:space="preserve"> </w:t>
      </w:r>
      <w:r w:rsidRPr="00710C35">
        <w:rPr>
          <w:rFonts w:ascii="Tahoma" w:hAnsi="Tahoma" w:cs="Tahoma"/>
          <w:color w:val="333333"/>
          <w:szCs w:val="19"/>
        </w:rPr>
        <w:t>Its predecessors include major banking firms such as Chemical Bank, Manufacturers Hanover, First Chicago Bank, National Bank of Detroit, Texas Commerce Bank, Providian Financial, and Great Western Bank.</w:t>
      </w:r>
    </w:p>
    <w:p w:rsidR="00710C35" w:rsidRDefault="00710C35" w:rsidP="00710C35">
      <w:pPr>
        <w:pStyle w:val="NormalWeb"/>
        <w:shd w:val="clear" w:color="auto" w:fill="FFFFFF"/>
        <w:spacing w:after="360" w:afterAutospacing="0"/>
        <w:rPr>
          <w:rFonts w:ascii="Tahoma" w:hAnsi="Tahoma" w:cs="Tahoma"/>
          <w:color w:val="333333"/>
          <w:szCs w:val="19"/>
        </w:rPr>
      </w:pPr>
      <w:r w:rsidRPr="00710C35">
        <w:rPr>
          <w:rFonts w:ascii="Tahoma" w:hAnsi="Tahoma" w:cs="Tahoma"/>
          <w:color w:val="333333"/>
          <w:szCs w:val="19"/>
        </w:rPr>
        <w:t>Aaron Burr established the Bank of the Manhattan Company, the company's oldest predecessor institution, on September 1, 1799. It is the third-oldest bank in the United States, as well as the 31st-oldest bank in the world.</w:t>
      </w:r>
    </w:p>
    <w:p w:rsidR="00E52E4A" w:rsidRDefault="00E52E4A" w:rsidP="00710C35">
      <w:pPr>
        <w:pStyle w:val="NormalWeb"/>
        <w:shd w:val="clear" w:color="auto" w:fill="FFFFFF"/>
        <w:spacing w:after="360" w:afterAutospacing="0"/>
        <w:rPr>
          <w:rFonts w:ascii="Tahoma" w:hAnsi="Tahoma" w:cs="Tahoma"/>
          <w:color w:val="333333"/>
          <w:szCs w:val="19"/>
        </w:rPr>
      </w:pPr>
      <w:r w:rsidRPr="00E52E4A">
        <w:rPr>
          <w:rFonts w:ascii="Tahoma" w:hAnsi="Tahoma" w:cs="Tahoma"/>
          <w:color w:val="333333"/>
          <w:szCs w:val="19"/>
        </w:rPr>
        <w:t>Chase Manhattan Bank was formed in 1955 after The Bank of the Manhattan Company (established in 1799) purchased Chase National Bank (established in 1877) from the company's oldest predecessor institution, The Bank of the Manhattan Company.</w:t>
      </w:r>
    </w:p>
    <w:p w:rsidR="00E52E4A" w:rsidRDefault="00E52E4A" w:rsidP="00710C35">
      <w:pPr>
        <w:pStyle w:val="NormalWeb"/>
        <w:shd w:val="clear" w:color="auto" w:fill="FFFFFF"/>
        <w:spacing w:after="360" w:afterAutospacing="0"/>
        <w:rPr>
          <w:rFonts w:ascii="Arial" w:hAnsi="Arial" w:cs="Arial"/>
          <w:color w:val="000000"/>
          <w:sz w:val="18"/>
          <w:szCs w:val="16"/>
          <w:shd w:val="clear" w:color="auto" w:fill="FFFFFF"/>
        </w:rPr>
      </w:pPr>
      <w:r w:rsidRPr="00E52E4A">
        <w:rPr>
          <w:rFonts w:ascii="Tahoma" w:hAnsi="Tahoma" w:cs="Tahoma"/>
          <w:color w:val="333333"/>
          <w:szCs w:val="19"/>
        </w:rPr>
        <w:t>The House of Morgan originated from Drexel, Morgan &amp; Co., which was renamed J.P.</w:t>
      </w:r>
      <w:r>
        <w:rPr>
          <w:rFonts w:ascii="Tahoma" w:hAnsi="Tahoma" w:cs="Tahoma"/>
          <w:color w:val="333333"/>
          <w:szCs w:val="19"/>
        </w:rPr>
        <w:t xml:space="preserve"> Morgan &amp; C0 </w:t>
      </w:r>
      <w:r w:rsidRPr="00E52E4A">
        <w:rPr>
          <w:rFonts w:ascii="Tahoma" w:hAnsi="Tahoma" w:cs="Tahoma"/>
          <w:color w:val="333333"/>
          <w:szCs w:val="19"/>
        </w:rPr>
        <w:t>J.P. Morgan &amp; Co. financed the founding of the United States Steel Corporation, which took over Carnegie's business and became the world's first billion dollar company.</w:t>
      </w:r>
      <w:r w:rsidRPr="00E52E4A">
        <w:rPr>
          <w:rFonts w:ascii="Arial" w:hAnsi="Arial" w:cs="Arial"/>
          <w:color w:val="000000"/>
          <w:sz w:val="16"/>
          <w:szCs w:val="16"/>
          <w:shd w:val="clear" w:color="auto" w:fill="FFFFFF"/>
        </w:rPr>
        <w:t xml:space="preserve"> </w:t>
      </w:r>
    </w:p>
    <w:p w:rsidR="00E52E4A" w:rsidRDefault="00E52E4A" w:rsidP="00710C35">
      <w:pPr>
        <w:pStyle w:val="NormalWeb"/>
        <w:shd w:val="clear" w:color="auto" w:fill="FFFFFF"/>
        <w:spacing w:after="360" w:afterAutospacing="0"/>
        <w:rPr>
          <w:rFonts w:ascii="Tahoma" w:hAnsi="Tahoma" w:cs="Tahoma"/>
          <w:color w:val="333333"/>
          <w:szCs w:val="19"/>
        </w:rPr>
      </w:pPr>
      <w:r w:rsidRPr="00E52E4A">
        <w:rPr>
          <w:rFonts w:ascii="Tahoma" w:hAnsi="Tahoma" w:cs="Tahoma"/>
          <w:color w:val="333333"/>
          <w:szCs w:val="19"/>
        </w:rPr>
        <w:t xml:space="preserve">Since it was built in 1914, 23 Wall Street has served as the bank's </w:t>
      </w:r>
      <w:r w:rsidR="001E05E6">
        <w:rPr>
          <w:rFonts w:ascii="Tahoma" w:hAnsi="Tahoma" w:cs="Tahoma"/>
          <w:color w:val="333333"/>
          <w:szCs w:val="19"/>
        </w:rPr>
        <w:t>headquarters.</w:t>
      </w:r>
      <w:r w:rsidRPr="00E52E4A">
        <w:t xml:space="preserve"> </w:t>
      </w:r>
      <w:r w:rsidRPr="001E05E6">
        <w:rPr>
          <w:rFonts w:ascii="Tahoma" w:hAnsi="Tahoma" w:cs="Tahoma"/>
          <w:color w:val="333333"/>
          <w:szCs w:val="19"/>
        </w:rPr>
        <w:t>A warning note was left in a mailbox at Cedar Street and Broadway shortly before the bomb went off.</w:t>
      </w:r>
      <w:r w:rsidR="001E05E6" w:rsidRPr="001E05E6">
        <w:t xml:space="preserve"> </w:t>
      </w:r>
      <w:r w:rsidR="001E05E6" w:rsidRPr="001E05E6">
        <w:rPr>
          <w:rFonts w:ascii="Tahoma" w:hAnsi="Tahoma" w:cs="Tahoma"/>
          <w:color w:val="333333"/>
          <w:szCs w:val="19"/>
        </w:rPr>
        <w:t>The case was declared inactive by the FBI in 1940</w:t>
      </w:r>
      <w:r w:rsidR="001E05E6">
        <w:rPr>
          <w:rFonts w:ascii="Tahoma" w:hAnsi="Tahoma" w:cs="Tahoma"/>
          <w:color w:val="333333"/>
          <w:szCs w:val="19"/>
        </w:rPr>
        <w:t>.</w:t>
      </w:r>
    </w:p>
    <w:p w:rsidR="001E05E6" w:rsidRDefault="001E05E6" w:rsidP="00710C35">
      <w:pPr>
        <w:pStyle w:val="NormalWeb"/>
        <w:shd w:val="clear" w:color="auto" w:fill="FFFFFF"/>
        <w:spacing w:after="360" w:afterAutospacing="0"/>
        <w:rPr>
          <w:rFonts w:ascii="Arial" w:hAnsi="Arial" w:cs="Arial"/>
          <w:color w:val="202122"/>
          <w:sz w:val="20"/>
          <w:szCs w:val="14"/>
          <w:shd w:val="clear" w:color="auto" w:fill="FFFFFF"/>
        </w:rPr>
      </w:pPr>
      <w:r w:rsidRPr="001E05E6">
        <w:rPr>
          <w:rFonts w:ascii="Arial" w:hAnsi="Arial" w:cs="Arial"/>
          <w:color w:val="202122"/>
          <w:sz w:val="20"/>
          <w:szCs w:val="14"/>
          <w:shd w:val="clear" w:color="auto" w:fill="FFFFFF"/>
        </w:rPr>
        <w:t>In August 1914, </w:t>
      </w:r>
      <w:hyperlink r:id="rId8" w:tooltip="Henry P. Davison" w:history="1">
        <w:r w:rsidRPr="001E05E6">
          <w:rPr>
            <w:rStyle w:val="Hyperlink"/>
            <w:rFonts w:ascii="Arial" w:hAnsi="Arial" w:cs="Arial"/>
            <w:color w:val="0645AD"/>
            <w:sz w:val="20"/>
            <w:szCs w:val="14"/>
            <w:shd w:val="clear" w:color="auto" w:fill="FFFFFF"/>
          </w:rPr>
          <w:t>Henry P. Davison</w:t>
        </w:r>
      </w:hyperlink>
      <w:r w:rsidRPr="001E05E6">
        <w:rPr>
          <w:rFonts w:ascii="Arial" w:hAnsi="Arial" w:cs="Arial"/>
          <w:color w:val="202122"/>
          <w:sz w:val="20"/>
          <w:szCs w:val="14"/>
          <w:shd w:val="clear" w:color="auto" w:fill="FFFFFF"/>
        </w:rPr>
        <w:t>, a Morgan partner, made a deal with the </w:t>
      </w:r>
      <w:hyperlink r:id="rId9" w:tooltip="Bank of England" w:history="1">
        <w:r w:rsidRPr="001E05E6">
          <w:rPr>
            <w:rStyle w:val="Hyperlink"/>
            <w:rFonts w:ascii="Arial" w:hAnsi="Arial" w:cs="Arial"/>
            <w:color w:val="0645AD"/>
            <w:sz w:val="20"/>
            <w:szCs w:val="14"/>
            <w:shd w:val="clear" w:color="auto" w:fill="FFFFFF"/>
          </w:rPr>
          <w:t>Bank of England</w:t>
        </w:r>
      </w:hyperlink>
      <w:r w:rsidRPr="001E05E6">
        <w:rPr>
          <w:rFonts w:ascii="Arial" w:hAnsi="Arial" w:cs="Arial"/>
          <w:color w:val="202122"/>
          <w:sz w:val="20"/>
          <w:szCs w:val="14"/>
          <w:shd w:val="clear" w:color="auto" w:fill="FFFFFF"/>
        </w:rPr>
        <w:t> to make J.P. Morgan &amp; Co. the monopoly underwriter of </w:t>
      </w:r>
      <w:hyperlink r:id="rId10" w:tooltip="War bonds" w:history="1">
        <w:r w:rsidRPr="001E05E6">
          <w:rPr>
            <w:rStyle w:val="Hyperlink"/>
            <w:rFonts w:ascii="Arial" w:hAnsi="Arial" w:cs="Arial"/>
            <w:color w:val="0645AD"/>
            <w:sz w:val="20"/>
            <w:szCs w:val="14"/>
            <w:shd w:val="clear" w:color="auto" w:fill="FFFFFF"/>
          </w:rPr>
          <w:t>war bonds</w:t>
        </w:r>
      </w:hyperlink>
      <w:r w:rsidRPr="001E05E6">
        <w:rPr>
          <w:rFonts w:ascii="Arial" w:hAnsi="Arial" w:cs="Arial"/>
          <w:color w:val="202122"/>
          <w:sz w:val="20"/>
          <w:szCs w:val="14"/>
          <w:shd w:val="clear" w:color="auto" w:fill="FFFFFF"/>
        </w:rPr>
        <w:t> for the UK and France. The Bank of England became a "</w:t>
      </w:r>
      <w:hyperlink r:id="rId11" w:tooltip="Fiscal agent" w:history="1">
        <w:r w:rsidRPr="001E05E6">
          <w:rPr>
            <w:rStyle w:val="Hyperlink"/>
            <w:rFonts w:ascii="Arial" w:hAnsi="Arial" w:cs="Arial"/>
            <w:color w:val="0645AD"/>
            <w:sz w:val="20"/>
            <w:szCs w:val="14"/>
            <w:shd w:val="clear" w:color="auto" w:fill="FFFFFF"/>
          </w:rPr>
          <w:t>fiscal agent</w:t>
        </w:r>
      </w:hyperlink>
      <w:r w:rsidRPr="001E05E6">
        <w:rPr>
          <w:rFonts w:ascii="Arial" w:hAnsi="Arial" w:cs="Arial"/>
          <w:color w:val="202122"/>
          <w:sz w:val="20"/>
          <w:szCs w:val="14"/>
          <w:shd w:val="clear" w:color="auto" w:fill="FFFFFF"/>
        </w:rPr>
        <w:t>" of J.P. Morgan &amp; Co., and vice versa</w:t>
      </w:r>
      <w:r>
        <w:rPr>
          <w:rFonts w:ascii="Arial" w:hAnsi="Arial" w:cs="Arial"/>
          <w:color w:val="202122"/>
          <w:sz w:val="20"/>
          <w:szCs w:val="14"/>
          <w:shd w:val="clear" w:color="auto" w:fill="FFFFFF"/>
        </w:rPr>
        <w:t>.</w:t>
      </w:r>
    </w:p>
    <w:p w:rsidR="001E05E6" w:rsidRPr="001E05E6" w:rsidRDefault="001E05E6" w:rsidP="001E05E6">
      <w:pPr>
        <w:pStyle w:val="NormalWeb"/>
        <w:shd w:val="clear" w:color="auto" w:fill="FFFFFF"/>
        <w:spacing w:before="120" w:beforeAutospacing="0" w:after="120" w:afterAutospacing="0"/>
        <w:rPr>
          <w:rFonts w:ascii="Arial" w:hAnsi="Arial" w:cs="Arial"/>
          <w:color w:val="202122"/>
          <w:sz w:val="20"/>
          <w:szCs w:val="14"/>
        </w:rPr>
      </w:pPr>
      <w:r w:rsidRPr="001E05E6">
        <w:rPr>
          <w:rFonts w:ascii="Arial" w:hAnsi="Arial" w:cs="Arial"/>
          <w:color w:val="202122"/>
          <w:sz w:val="20"/>
          <w:szCs w:val="14"/>
        </w:rPr>
        <w:t>The company also invested in the suppliers of </w:t>
      </w:r>
      <w:hyperlink r:id="rId12" w:tooltip="War equipment" w:history="1">
        <w:r w:rsidRPr="001E05E6">
          <w:rPr>
            <w:rStyle w:val="Hyperlink"/>
            <w:rFonts w:ascii="Arial" w:hAnsi="Arial" w:cs="Arial"/>
            <w:color w:val="0645AD"/>
            <w:sz w:val="20"/>
            <w:szCs w:val="14"/>
          </w:rPr>
          <w:t>war equipment</w:t>
        </w:r>
      </w:hyperlink>
      <w:r w:rsidRPr="001E05E6">
        <w:rPr>
          <w:rFonts w:ascii="Arial" w:hAnsi="Arial" w:cs="Arial"/>
          <w:color w:val="202122"/>
          <w:sz w:val="20"/>
          <w:szCs w:val="14"/>
        </w:rPr>
        <w:t> to Britain and France. The company profited from the financing and purchasing activities of the two European governments</w:t>
      </w:r>
      <w:r>
        <w:rPr>
          <w:rFonts w:ascii="Arial" w:hAnsi="Arial" w:cs="Arial"/>
          <w:color w:val="202122"/>
          <w:sz w:val="20"/>
          <w:szCs w:val="14"/>
        </w:rPr>
        <w:t xml:space="preserve"> </w:t>
      </w:r>
      <w:r w:rsidRPr="001E05E6">
        <w:rPr>
          <w:rFonts w:ascii="Arial" w:hAnsi="Arial" w:cs="Arial"/>
          <w:color w:val="202122"/>
          <w:sz w:val="20"/>
          <w:szCs w:val="14"/>
        </w:rPr>
        <w:t>.Since the </w:t>
      </w:r>
      <w:hyperlink r:id="rId13" w:tooltip="Federal government of the United States" w:history="1">
        <w:r w:rsidRPr="001E05E6">
          <w:rPr>
            <w:rStyle w:val="Hyperlink"/>
            <w:rFonts w:ascii="Arial" w:hAnsi="Arial" w:cs="Arial"/>
            <w:color w:val="0645AD"/>
            <w:sz w:val="20"/>
            <w:szCs w:val="14"/>
          </w:rPr>
          <w:t>U.S. federal government</w:t>
        </w:r>
      </w:hyperlink>
      <w:r w:rsidRPr="001E05E6">
        <w:rPr>
          <w:rFonts w:ascii="Arial" w:hAnsi="Arial" w:cs="Arial"/>
          <w:color w:val="202122"/>
          <w:sz w:val="20"/>
          <w:szCs w:val="14"/>
        </w:rPr>
        <w:t> withdrew from world affairs under successive </w:t>
      </w:r>
      <w:hyperlink r:id="rId14" w:tooltip="United States non-interventionism" w:history="1">
        <w:r w:rsidRPr="001E05E6">
          <w:rPr>
            <w:rStyle w:val="Hyperlink"/>
            <w:rFonts w:ascii="Arial" w:hAnsi="Arial" w:cs="Arial"/>
            <w:color w:val="0645AD"/>
            <w:sz w:val="20"/>
            <w:szCs w:val="14"/>
          </w:rPr>
          <w:t>isolationist</w:t>
        </w:r>
      </w:hyperlink>
      <w:r w:rsidRPr="001E05E6">
        <w:rPr>
          <w:rFonts w:ascii="Arial" w:hAnsi="Arial" w:cs="Arial"/>
          <w:color w:val="202122"/>
          <w:sz w:val="20"/>
          <w:szCs w:val="14"/>
        </w:rPr>
        <w:t> </w:t>
      </w:r>
      <w:hyperlink r:id="rId15" w:tooltip="Republican Party (United States)" w:history="1">
        <w:r w:rsidRPr="001E05E6">
          <w:rPr>
            <w:rStyle w:val="Hyperlink"/>
            <w:rFonts w:ascii="Arial" w:hAnsi="Arial" w:cs="Arial"/>
            <w:color w:val="0645AD"/>
            <w:sz w:val="20"/>
            <w:szCs w:val="14"/>
          </w:rPr>
          <w:t>Republican</w:t>
        </w:r>
      </w:hyperlink>
      <w:r w:rsidRPr="001E05E6">
        <w:rPr>
          <w:rFonts w:ascii="Arial" w:hAnsi="Arial" w:cs="Arial"/>
          <w:color w:val="202122"/>
          <w:sz w:val="20"/>
          <w:szCs w:val="14"/>
        </w:rPr>
        <w:t> administrations in the 1920s, J.P. Morgan &amp; Co. continued playing a major role in global affairs since most European countries still owed war debts.</w:t>
      </w:r>
    </w:p>
    <w:p w:rsidR="001E05E6" w:rsidRPr="001E05E6" w:rsidRDefault="001E05E6" w:rsidP="001E05E6">
      <w:pPr>
        <w:pStyle w:val="NormalWeb"/>
        <w:shd w:val="clear" w:color="auto" w:fill="FFFFFF"/>
        <w:spacing w:before="120" w:beforeAutospacing="0" w:after="120" w:afterAutospacing="0"/>
        <w:rPr>
          <w:rFonts w:ascii="Arial" w:hAnsi="Arial" w:cs="Arial"/>
          <w:color w:val="202122"/>
          <w:sz w:val="20"/>
          <w:szCs w:val="14"/>
        </w:rPr>
      </w:pPr>
      <w:r w:rsidRPr="001E05E6">
        <w:rPr>
          <w:rFonts w:ascii="Arial" w:hAnsi="Arial" w:cs="Arial"/>
          <w:color w:val="202122"/>
          <w:sz w:val="20"/>
          <w:szCs w:val="14"/>
        </w:rPr>
        <w:t>In the 1930s, J.P. Morgan &amp; Co. and all integrated banking businesses in the United States were required by the provisions of the </w:t>
      </w:r>
      <w:hyperlink r:id="rId16" w:tooltip="Glass–Steagall Act" w:history="1">
        <w:r w:rsidRPr="001E05E6">
          <w:rPr>
            <w:rStyle w:val="Hyperlink"/>
            <w:rFonts w:ascii="Arial" w:hAnsi="Arial" w:cs="Arial"/>
            <w:color w:val="0645AD"/>
            <w:sz w:val="20"/>
            <w:szCs w:val="14"/>
          </w:rPr>
          <w:t>Glass–</w:t>
        </w:r>
        <w:proofErr w:type="spellStart"/>
        <w:r w:rsidRPr="001E05E6">
          <w:rPr>
            <w:rStyle w:val="Hyperlink"/>
            <w:rFonts w:ascii="Arial" w:hAnsi="Arial" w:cs="Arial"/>
            <w:color w:val="0645AD"/>
            <w:sz w:val="20"/>
            <w:szCs w:val="14"/>
          </w:rPr>
          <w:t>Steagall</w:t>
        </w:r>
        <w:proofErr w:type="spellEnd"/>
        <w:r w:rsidRPr="001E05E6">
          <w:rPr>
            <w:rStyle w:val="Hyperlink"/>
            <w:rFonts w:ascii="Arial" w:hAnsi="Arial" w:cs="Arial"/>
            <w:color w:val="0645AD"/>
            <w:sz w:val="20"/>
            <w:szCs w:val="14"/>
          </w:rPr>
          <w:t xml:space="preserve"> Act</w:t>
        </w:r>
      </w:hyperlink>
      <w:r w:rsidRPr="001E05E6">
        <w:rPr>
          <w:rFonts w:ascii="Arial" w:hAnsi="Arial" w:cs="Arial"/>
          <w:color w:val="202122"/>
          <w:sz w:val="20"/>
          <w:szCs w:val="14"/>
        </w:rPr>
        <w:t> to separate their </w:t>
      </w:r>
      <w:hyperlink r:id="rId17" w:tooltip="Investment banking" w:history="1">
        <w:r w:rsidRPr="001E05E6">
          <w:rPr>
            <w:rStyle w:val="Hyperlink"/>
            <w:rFonts w:ascii="Arial" w:hAnsi="Arial" w:cs="Arial"/>
            <w:color w:val="0645AD"/>
            <w:sz w:val="20"/>
            <w:szCs w:val="14"/>
          </w:rPr>
          <w:t>investment banking</w:t>
        </w:r>
      </w:hyperlink>
      <w:r w:rsidRPr="001E05E6">
        <w:rPr>
          <w:rFonts w:ascii="Arial" w:hAnsi="Arial" w:cs="Arial"/>
          <w:color w:val="202122"/>
          <w:sz w:val="20"/>
          <w:szCs w:val="14"/>
        </w:rPr>
        <w:t> from their </w:t>
      </w:r>
      <w:hyperlink r:id="rId18" w:tooltip="Commercial banking" w:history="1">
        <w:r w:rsidRPr="001E05E6">
          <w:rPr>
            <w:rStyle w:val="Hyperlink"/>
            <w:rFonts w:ascii="Arial" w:hAnsi="Arial" w:cs="Arial"/>
            <w:color w:val="0645AD"/>
            <w:sz w:val="20"/>
            <w:szCs w:val="14"/>
          </w:rPr>
          <w:t>commercial banking</w:t>
        </w:r>
      </w:hyperlink>
      <w:r w:rsidRPr="001E05E6">
        <w:rPr>
          <w:rFonts w:ascii="Arial" w:hAnsi="Arial" w:cs="Arial"/>
          <w:color w:val="202122"/>
          <w:sz w:val="20"/>
          <w:szCs w:val="14"/>
        </w:rPr>
        <w:t> operations. J.P. Morgan &amp; Co. chose to operate as a commercial bank.</w:t>
      </w:r>
    </w:p>
    <w:p w:rsidR="00DA4693" w:rsidRDefault="001E05E6" w:rsidP="001E05E6">
      <w:pPr>
        <w:pStyle w:val="NormalWeb"/>
        <w:shd w:val="clear" w:color="auto" w:fill="FFFFFF"/>
        <w:spacing w:after="360" w:afterAutospacing="0"/>
        <w:rPr>
          <w:rFonts w:ascii="Tahoma" w:hAnsi="Tahoma" w:cs="Tahoma"/>
          <w:color w:val="333333"/>
          <w:sz w:val="32"/>
          <w:szCs w:val="19"/>
        </w:rPr>
      </w:pPr>
      <w:r w:rsidRPr="001E05E6">
        <w:rPr>
          <w:rFonts w:ascii="Arial" w:hAnsi="Arial" w:cs="Arial"/>
          <w:color w:val="202122"/>
          <w:sz w:val="20"/>
          <w:szCs w:val="14"/>
          <w:shd w:val="clear" w:color="auto" w:fill="FFFFFF"/>
        </w:rPr>
        <w:t>In 1935, after being barred from the securities business for over a year, the heads of J.P. Morgan spun off its investment-banking operations. Led by J.P. Morgan partners, </w:t>
      </w:r>
      <w:hyperlink r:id="rId19" w:tooltip="Henry S. Morgan" w:history="1">
        <w:r w:rsidRPr="001E05E6">
          <w:rPr>
            <w:rStyle w:val="Hyperlink"/>
            <w:rFonts w:ascii="Arial" w:hAnsi="Arial" w:cs="Arial"/>
            <w:color w:val="0645AD"/>
            <w:sz w:val="20"/>
            <w:szCs w:val="14"/>
            <w:shd w:val="clear" w:color="auto" w:fill="FFFFFF"/>
          </w:rPr>
          <w:t>Henry S. Morgan</w:t>
        </w:r>
      </w:hyperlink>
      <w:r w:rsidRPr="001E05E6">
        <w:rPr>
          <w:rFonts w:ascii="Arial" w:hAnsi="Arial" w:cs="Arial"/>
          <w:color w:val="202122"/>
          <w:sz w:val="20"/>
          <w:szCs w:val="14"/>
          <w:shd w:val="clear" w:color="auto" w:fill="FFFFFF"/>
        </w:rPr>
        <w:t> (son of Jack Morgan and grandson of </w:t>
      </w:r>
      <w:hyperlink r:id="rId20" w:tooltip="J. Pierpont Morgan" w:history="1">
        <w:r w:rsidRPr="001E05E6">
          <w:rPr>
            <w:rStyle w:val="Hyperlink"/>
            <w:rFonts w:ascii="Arial" w:hAnsi="Arial" w:cs="Arial"/>
            <w:color w:val="0645AD"/>
            <w:sz w:val="20"/>
            <w:szCs w:val="14"/>
            <w:shd w:val="clear" w:color="auto" w:fill="FFFFFF"/>
          </w:rPr>
          <w:t>J. Pierpont Morgan</w:t>
        </w:r>
      </w:hyperlink>
      <w:r w:rsidRPr="001E05E6">
        <w:rPr>
          <w:rFonts w:ascii="Arial" w:hAnsi="Arial" w:cs="Arial"/>
          <w:color w:val="202122"/>
          <w:sz w:val="20"/>
          <w:szCs w:val="14"/>
          <w:shd w:val="clear" w:color="auto" w:fill="FFFFFF"/>
        </w:rPr>
        <w:t>) and </w:t>
      </w:r>
      <w:hyperlink r:id="rId21" w:tooltip="Harold Stanley" w:history="1">
        <w:r w:rsidRPr="001E05E6">
          <w:rPr>
            <w:rStyle w:val="Hyperlink"/>
            <w:rFonts w:ascii="Arial" w:hAnsi="Arial" w:cs="Arial"/>
            <w:color w:val="0645AD"/>
            <w:sz w:val="20"/>
            <w:szCs w:val="14"/>
            <w:shd w:val="clear" w:color="auto" w:fill="FFFFFF"/>
          </w:rPr>
          <w:t>Harold Stanley</w:t>
        </w:r>
      </w:hyperlink>
      <w:r w:rsidRPr="001E05E6">
        <w:rPr>
          <w:rFonts w:ascii="Arial" w:hAnsi="Arial" w:cs="Arial"/>
          <w:color w:val="202122"/>
          <w:sz w:val="20"/>
          <w:szCs w:val="14"/>
          <w:shd w:val="clear" w:color="auto" w:fill="FFFFFF"/>
        </w:rPr>
        <w:t>, </w:t>
      </w:r>
      <w:hyperlink r:id="rId22" w:tooltip="Morgan Stanley" w:history="1">
        <w:r w:rsidRPr="001E05E6">
          <w:rPr>
            <w:rStyle w:val="Hyperlink"/>
            <w:rFonts w:ascii="Arial" w:hAnsi="Arial" w:cs="Arial"/>
            <w:color w:val="0645AD"/>
            <w:sz w:val="20"/>
            <w:szCs w:val="14"/>
            <w:shd w:val="clear" w:color="auto" w:fill="FFFFFF"/>
          </w:rPr>
          <w:t>Morgan Stanley</w:t>
        </w:r>
      </w:hyperlink>
      <w:r w:rsidRPr="001E05E6">
        <w:rPr>
          <w:rFonts w:ascii="Arial" w:hAnsi="Arial" w:cs="Arial"/>
          <w:color w:val="202122"/>
          <w:sz w:val="20"/>
          <w:szCs w:val="14"/>
          <w:shd w:val="clear" w:color="auto" w:fill="FFFFFF"/>
        </w:rPr>
        <w:t xml:space="preserve"> was founded on September 16, 1935, with $6.6 million of nonvoting preferred stock from J.P. Morgan </w:t>
      </w:r>
      <w:proofErr w:type="spellStart"/>
      <w:r w:rsidRPr="001E05E6">
        <w:rPr>
          <w:rFonts w:ascii="Arial" w:hAnsi="Arial" w:cs="Arial"/>
          <w:color w:val="202122"/>
          <w:sz w:val="20"/>
          <w:szCs w:val="14"/>
          <w:shd w:val="clear" w:color="auto" w:fill="FFFFFF"/>
        </w:rPr>
        <w:t>partners.In</w:t>
      </w:r>
      <w:proofErr w:type="spellEnd"/>
      <w:r w:rsidRPr="001E05E6">
        <w:rPr>
          <w:rFonts w:ascii="Arial" w:hAnsi="Arial" w:cs="Arial"/>
          <w:color w:val="202122"/>
          <w:sz w:val="20"/>
          <w:szCs w:val="14"/>
          <w:shd w:val="clear" w:color="auto" w:fill="FFFFFF"/>
        </w:rPr>
        <w:t xml:space="preserve"> order to bolster its </w:t>
      </w:r>
      <w:r w:rsidRPr="001E05E6">
        <w:rPr>
          <w:rFonts w:ascii="Arial" w:hAnsi="Arial" w:cs="Arial"/>
          <w:color w:val="202122"/>
          <w:sz w:val="20"/>
          <w:szCs w:val="14"/>
          <w:shd w:val="clear" w:color="auto" w:fill="FFFFFF"/>
        </w:rPr>
        <w:lastRenderedPageBreak/>
        <w:t xml:space="preserve">position, in 1959, J.P. Morgan merged with the Guaranty Trust Company of New York to form the Morgan Guaranty Trust </w:t>
      </w:r>
      <w:proofErr w:type="spellStart"/>
      <w:r w:rsidRPr="001E05E6">
        <w:rPr>
          <w:rFonts w:ascii="Arial" w:hAnsi="Arial" w:cs="Arial"/>
          <w:color w:val="202122"/>
          <w:sz w:val="20"/>
          <w:szCs w:val="14"/>
          <w:shd w:val="clear" w:color="auto" w:fill="FFFFFF"/>
        </w:rPr>
        <w:t>Company.The</w:t>
      </w:r>
      <w:proofErr w:type="spellEnd"/>
      <w:r w:rsidRPr="001E05E6">
        <w:rPr>
          <w:rFonts w:ascii="Arial" w:hAnsi="Arial" w:cs="Arial"/>
          <w:color w:val="202122"/>
          <w:sz w:val="20"/>
          <w:szCs w:val="14"/>
          <w:shd w:val="clear" w:color="auto" w:fill="FFFFFF"/>
        </w:rPr>
        <w:t xml:space="preserve"> bank would continue to operate as Morgan Guaranty Trust until the 1980s, before migrating back to the use of the J.P. Morgan brand. In 1984, the group purchased the Purdue National Corporation of </w:t>
      </w:r>
      <w:hyperlink r:id="rId23" w:tooltip="Lafayette, Indiana" w:history="1">
        <w:r w:rsidRPr="001E05E6">
          <w:rPr>
            <w:rStyle w:val="Hyperlink"/>
            <w:rFonts w:ascii="Arial" w:hAnsi="Arial" w:cs="Arial"/>
            <w:color w:val="0645AD"/>
            <w:sz w:val="20"/>
            <w:szCs w:val="14"/>
            <w:shd w:val="clear" w:color="auto" w:fill="FFFFFF"/>
          </w:rPr>
          <w:t>Lafayette</w:t>
        </w:r>
      </w:hyperlink>
      <w:r w:rsidRPr="001E05E6">
        <w:rPr>
          <w:rFonts w:ascii="Arial" w:hAnsi="Arial" w:cs="Arial"/>
          <w:color w:val="202122"/>
          <w:sz w:val="20"/>
          <w:szCs w:val="14"/>
          <w:shd w:val="clear" w:color="auto" w:fill="FFFFFF"/>
        </w:rPr>
        <w:t>, </w:t>
      </w:r>
      <w:hyperlink r:id="rId24" w:tooltip="Indiana" w:history="1">
        <w:r w:rsidRPr="001E05E6">
          <w:rPr>
            <w:rStyle w:val="Hyperlink"/>
            <w:rFonts w:ascii="Arial" w:hAnsi="Arial" w:cs="Arial"/>
            <w:color w:val="0645AD"/>
            <w:sz w:val="20"/>
            <w:szCs w:val="14"/>
            <w:shd w:val="clear" w:color="auto" w:fill="FFFFFF"/>
          </w:rPr>
          <w:t>Indiana</w:t>
        </w:r>
      </w:hyperlink>
      <w:r w:rsidRPr="001E05E6">
        <w:rPr>
          <w:rFonts w:ascii="Arial" w:hAnsi="Arial" w:cs="Arial"/>
          <w:color w:val="202122"/>
          <w:sz w:val="20"/>
          <w:szCs w:val="14"/>
          <w:shd w:val="clear" w:color="auto" w:fill="FFFFFF"/>
        </w:rPr>
        <w:t>. In 1988, the company once again began operating exclusively as J.P. Morgan &amp; Co.</w:t>
      </w:r>
    </w:p>
    <w:p w:rsidR="001E05E6" w:rsidRPr="001E05E6" w:rsidRDefault="001E05E6" w:rsidP="001E05E6">
      <w:pPr>
        <w:pStyle w:val="NormalWeb"/>
        <w:shd w:val="clear" w:color="auto" w:fill="FFFFFF"/>
        <w:spacing w:after="360" w:afterAutospacing="0"/>
        <w:rPr>
          <w:rFonts w:ascii="Tahoma" w:hAnsi="Tahoma" w:cs="Tahoma"/>
          <w:color w:val="333333"/>
          <w:sz w:val="32"/>
          <w:szCs w:val="19"/>
        </w:rPr>
      </w:pPr>
      <w:r>
        <w:rPr>
          <w:rFonts w:ascii="Tahoma" w:hAnsi="Tahoma" w:cs="Tahoma"/>
          <w:color w:val="333333"/>
          <w:sz w:val="32"/>
          <w:szCs w:val="19"/>
        </w:rPr>
        <w:t>RECENT HISTORY</w:t>
      </w:r>
    </w:p>
    <w:p w:rsidR="001E05E6" w:rsidRPr="001E05E6" w:rsidRDefault="001E05E6" w:rsidP="001E05E6">
      <w:pPr>
        <w:pStyle w:val="NormalWeb"/>
        <w:shd w:val="clear" w:color="auto" w:fill="FFFFFF"/>
        <w:spacing w:before="120" w:beforeAutospacing="0" w:after="120" w:afterAutospacing="0"/>
        <w:rPr>
          <w:rFonts w:ascii="Arial" w:hAnsi="Arial" w:cs="Arial"/>
          <w:color w:val="202122"/>
          <w:sz w:val="18"/>
          <w:szCs w:val="17"/>
        </w:rPr>
      </w:pPr>
      <w:r w:rsidRPr="001E05E6">
        <w:rPr>
          <w:rFonts w:ascii="Arial" w:hAnsi="Arial" w:cs="Arial"/>
          <w:color w:val="202122"/>
          <w:sz w:val="18"/>
          <w:szCs w:val="17"/>
        </w:rPr>
        <w:t>In 2013, after teaming up with the </w:t>
      </w:r>
      <w:hyperlink r:id="rId25" w:tooltip="Bill and Melinda Gates Foundation" w:history="1">
        <w:r w:rsidRPr="001E05E6">
          <w:rPr>
            <w:rStyle w:val="Hyperlink"/>
            <w:rFonts w:ascii="Arial" w:hAnsi="Arial" w:cs="Arial"/>
            <w:color w:val="0645AD"/>
            <w:sz w:val="18"/>
            <w:szCs w:val="17"/>
          </w:rPr>
          <w:t>Bill and Melinda Gates Foundation</w:t>
        </w:r>
      </w:hyperlink>
      <w:r w:rsidRPr="001E05E6">
        <w:rPr>
          <w:rFonts w:ascii="Arial" w:hAnsi="Arial" w:cs="Arial"/>
          <w:color w:val="202122"/>
          <w:sz w:val="18"/>
          <w:szCs w:val="17"/>
        </w:rPr>
        <w:t>, </w:t>
      </w:r>
      <w:hyperlink r:id="rId26" w:tooltip="GlaxoSmithKline" w:history="1">
        <w:r w:rsidRPr="001E05E6">
          <w:rPr>
            <w:rStyle w:val="Hyperlink"/>
            <w:rFonts w:ascii="Arial" w:hAnsi="Arial" w:cs="Arial"/>
            <w:color w:val="0645AD"/>
            <w:sz w:val="18"/>
            <w:szCs w:val="17"/>
          </w:rPr>
          <w:t>GlaxoSmithKline</w:t>
        </w:r>
      </w:hyperlink>
      <w:r w:rsidRPr="001E05E6">
        <w:rPr>
          <w:rFonts w:ascii="Arial" w:hAnsi="Arial" w:cs="Arial"/>
          <w:color w:val="202122"/>
          <w:sz w:val="18"/>
          <w:szCs w:val="17"/>
        </w:rPr>
        <w:t> and </w:t>
      </w:r>
      <w:hyperlink r:id="rId27" w:tooltip="The Children's Investment Fund Foundation" w:history="1">
        <w:r w:rsidRPr="001E05E6">
          <w:rPr>
            <w:rStyle w:val="Hyperlink"/>
            <w:rFonts w:ascii="Arial" w:hAnsi="Arial" w:cs="Arial"/>
            <w:color w:val="0645AD"/>
            <w:sz w:val="18"/>
            <w:szCs w:val="17"/>
          </w:rPr>
          <w:t>Children's Investment Fund</w:t>
        </w:r>
      </w:hyperlink>
      <w:r w:rsidRPr="001E05E6">
        <w:rPr>
          <w:rFonts w:ascii="Arial" w:hAnsi="Arial" w:cs="Arial"/>
          <w:color w:val="202122"/>
          <w:sz w:val="18"/>
          <w:szCs w:val="17"/>
        </w:rPr>
        <w:t>, JP Morgan Chase, Under </w:t>
      </w:r>
      <w:hyperlink r:id="rId28" w:tooltip="Jamie Dimon" w:history="1">
        <w:r w:rsidRPr="001E05E6">
          <w:rPr>
            <w:rStyle w:val="Hyperlink"/>
            <w:rFonts w:ascii="Arial" w:hAnsi="Arial" w:cs="Arial"/>
            <w:color w:val="0645AD"/>
            <w:sz w:val="18"/>
            <w:szCs w:val="17"/>
          </w:rPr>
          <w:t xml:space="preserve">Jamie </w:t>
        </w:r>
        <w:proofErr w:type="spellStart"/>
        <w:r w:rsidRPr="001E05E6">
          <w:rPr>
            <w:rStyle w:val="Hyperlink"/>
            <w:rFonts w:ascii="Arial" w:hAnsi="Arial" w:cs="Arial"/>
            <w:color w:val="0645AD"/>
            <w:sz w:val="18"/>
            <w:szCs w:val="17"/>
          </w:rPr>
          <w:t>Dimon</w:t>
        </w:r>
        <w:proofErr w:type="spellEnd"/>
      </w:hyperlink>
      <w:r w:rsidRPr="001E05E6">
        <w:rPr>
          <w:rFonts w:ascii="Arial" w:hAnsi="Arial" w:cs="Arial"/>
          <w:color w:val="202122"/>
          <w:sz w:val="18"/>
          <w:szCs w:val="17"/>
        </w:rPr>
        <w:t> launched a $94 Million fund with a focus on "late-stage healthcare technology trials". The "$94 million Global Health Investment Fund will give money to a final-stage drug, vaccine, and medical device studies that are otherwise stalled at companies because of their relatively high failure risk and low consumer demand. Examples of problems that could be addressed by the fund include </w:t>
      </w:r>
      <w:hyperlink r:id="rId29" w:tooltip="Malaria" w:history="1">
        <w:r w:rsidRPr="001E05E6">
          <w:rPr>
            <w:rStyle w:val="Hyperlink"/>
            <w:rFonts w:ascii="Arial" w:hAnsi="Arial" w:cs="Arial"/>
            <w:color w:val="0645AD"/>
            <w:sz w:val="18"/>
            <w:szCs w:val="17"/>
          </w:rPr>
          <w:t>malaria</w:t>
        </w:r>
      </w:hyperlink>
      <w:r w:rsidRPr="001E05E6">
        <w:rPr>
          <w:rFonts w:ascii="Arial" w:hAnsi="Arial" w:cs="Arial"/>
          <w:color w:val="202122"/>
          <w:sz w:val="18"/>
          <w:szCs w:val="17"/>
        </w:rPr>
        <w:t>, </w:t>
      </w:r>
      <w:hyperlink r:id="rId30" w:tooltip="Tuberculosis" w:history="1">
        <w:r w:rsidRPr="001E05E6">
          <w:rPr>
            <w:rStyle w:val="Hyperlink"/>
            <w:rFonts w:ascii="Arial" w:hAnsi="Arial" w:cs="Arial"/>
            <w:color w:val="0645AD"/>
            <w:sz w:val="18"/>
            <w:szCs w:val="17"/>
          </w:rPr>
          <w:t>tuberculosis</w:t>
        </w:r>
      </w:hyperlink>
      <w:r w:rsidRPr="001E05E6">
        <w:rPr>
          <w:rFonts w:ascii="Arial" w:hAnsi="Arial" w:cs="Arial"/>
          <w:color w:val="202122"/>
          <w:sz w:val="18"/>
          <w:szCs w:val="17"/>
        </w:rPr>
        <w:t>, </w:t>
      </w:r>
      <w:hyperlink r:id="rId31" w:tooltip="HIV/AIDS" w:history="1">
        <w:r w:rsidRPr="001E05E6">
          <w:rPr>
            <w:rStyle w:val="Hyperlink"/>
            <w:rFonts w:ascii="Arial" w:hAnsi="Arial" w:cs="Arial"/>
            <w:color w:val="0645AD"/>
            <w:sz w:val="18"/>
            <w:szCs w:val="17"/>
          </w:rPr>
          <w:t>HIV/AIDS</w:t>
        </w:r>
      </w:hyperlink>
      <w:r w:rsidRPr="001E05E6">
        <w:rPr>
          <w:rFonts w:ascii="Arial" w:hAnsi="Arial" w:cs="Arial"/>
          <w:color w:val="202122"/>
          <w:sz w:val="18"/>
          <w:szCs w:val="17"/>
        </w:rPr>
        <w:t>, and </w:t>
      </w:r>
      <w:hyperlink r:id="rId32" w:tooltip="Maternal death" w:history="1">
        <w:r w:rsidRPr="001E05E6">
          <w:rPr>
            <w:rStyle w:val="Hyperlink"/>
            <w:rFonts w:ascii="Arial" w:hAnsi="Arial" w:cs="Arial"/>
            <w:color w:val="0645AD"/>
            <w:sz w:val="18"/>
            <w:szCs w:val="17"/>
          </w:rPr>
          <w:t>maternal</w:t>
        </w:r>
      </w:hyperlink>
      <w:r w:rsidRPr="001E05E6">
        <w:rPr>
          <w:rFonts w:ascii="Arial" w:hAnsi="Arial" w:cs="Arial"/>
          <w:color w:val="202122"/>
          <w:sz w:val="18"/>
          <w:szCs w:val="17"/>
        </w:rPr>
        <w:t> and </w:t>
      </w:r>
      <w:hyperlink r:id="rId33" w:tooltip="Infant mortality" w:history="1">
        <w:r w:rsidRPr="001E05E6">
          <w:rPr>
            <w:rStyle w:val="Hyperlink"/>
            <w:rFonts w:ascii="Arial" w:hAnsi="Arial" w:cs="Arial"/>
            <w:color w:val="0645AD"/>
            <w:sz w:val="18"/>
            <w:szCs w:val="17"/>
          </w:rPr>
          <w:t>infant mortality</w:t>
        </w:r>
      </w:hyperlink>
      <w:r w:rsidRPr="001E05E6">
        <w:rPr>
          <w:rFonts w:ascii="Arial" w:hAnsi="Arial" w:cs="Arial"/>
          <w:color w:val="202122"/>
          <w:sz w:val="18"/>
          <w:szCs w:val="17"/>
        </w:rPr>
        <w:t>, according to the Gates and JPMorgan led-group"</w:t>
      </w:r>
    </w:p>
    <w:p w:rsidR="001E05E6" w:rsidRPr="001E05E6" w:rsidRDefault="001E05E6" w:rsidP="001E05E6">
      <w:pPr>
        <w:pStyle w:val="NormalWeb"/>
        <w:shd w:val="clear" w:color="auto" w:fill="FFFFFF"/>
        <w:spacing w:before="120" w:beforeAutospacing="0" w:after="120" w:afterAutospacing="0"/>
        <w:rPr>
          <w:rFonts w:ascii="Arial" w:hAnsi="Arial" w:cs="Arial"/>
          <w:color w:val="202122"/>
          <w:sz w:val="18"/>
          <w:szCs w:val="17"/>
        </w:rPr>
      </w:pPr>
      <w:r w:rsidRPr="001E05E6">
        <w:rPr>
          <w:rFonts w:ascii="Arial" w:hAnsi="Arial" w:cs="Arial"/>
          <w:color w:val="202122"/>
          <w:sz w:val="18"/>
          <w:szCs w:val="17"/>
        </w:rPr>
        <w:t>The </w:t>
      </w:r>
      <w:hyperlink r:id="rId34" w:tooltip="2014 JPMorgan Chase data breach" w:history="1">
        <w:r w:rsidRPr="001E05E6">
          <w:rPr>
            <w:rStyle w:val="Hyperlink"/>
            <w:rFonts w:ascii="Arial" w:hAnsi="Arial" w:cs="Arial"/>
            <w:color w:val="0645AD"/>
            <w:sz w:val="18"/>
            <w:szCs w:val="17"/>
          </w:rPr>
          <w:t>2014 JPMorgan Chase data breach</w:t>
        </w:r>
      </w:hyperlink>
      <w:r w:rsidRPr="001E05E6">
        <w:rPr>
          <w:rFonts w:ascii="Arial" w:hAnsi="Arial" w:cs="Arial"/>
          <w:color w:val="202122"/>
          <w:sz w:val="18"/>
          <w:szCs w:val="17"/>
        </w:rPr>
        <w:t>, disclosed in September 2014, compromised the JPMorgan Chase accounts of over 83 million customers. The attack was discovered by the bank's security team in late July 2014, but not completely halted until the middle of August.</w:t>
      </w:r>
    </w:p>
    <w:p w:rsidR="001E05E6" w:rsidRPr="001E05E6" w:rsidRDefault="001E05E6" w:rsidP="001E05E6">
      <w:pPr>
        <w:pStyle w:val="NormalWeb"/>
        <w:shd w:val="clear" w:color="auto" w:fill="FFFFFF"/>
        <w:spacing w:before="120" w:beforeAutospacing="0" w:after="120" w:afterAutospacing="0"/>
        <w:rPr>
          <w:rFonts w:ascii="Arial" w:hAnsi="Arial" w:cs="Arial"/>
          <w:color w:val="202122"/>
          <w:sz w:val="18"/>
          <w:szCs w:val="17"/>
        </w:rPr>
      </w:pPr>
      <w:r w:rsidRPr="001E05E6">
        <w:rPr>
          <w:rFonts w:ascii="Arial" w:hAnsi="Arial" w:cs="Arial"/>
          <w:color w:val="202122"/>
          <w:sz w:val="18"/>
          <w:szCs w:val="17"/>
        </w:rPr>
        <w:t xml:space="preserve">In October 2014, JPMorgan sold its commodities trader unit to </w:t>
      </w:r>
      <w:proofErr w:type="spellStart"/>
      <w:r w:rsidRPr="001E05E6">
        <w:rPr>
          <w:rFonts w:ascii="Arial" w:hAnsi="Arial" w:cs="Arial"/>
          <w:color w:val="202122"/>
          <w:sz w:val="18"/>
          <w:szCs w:val="17"/>
        </w:rPr>
        <w:t>Mercuria</w:t>
      </w:r>
      <w:proofErr w:type="spellEnd"/>
      <w:r w:rsidRPr="001E05E6">
        <w:rPr>
          <w:rFonts w:ascii="Arial" w:hAnsi="Arial" w:cs="Arial"/>
          <w:color w:val="202122"/>
          <w:sz w:val="18"/>
          <w:szCs w:val="17"/>
        </w:rPr>
        <w:t xml:space="preserve"> for $800 million, a quarter of the initial valuation of $3.5 billion, as the transaction excluded some oil and metal stockpiles and other assets.</w:t>
      </w:r>
    </w:p>
    <w:p w:rsidR="001E05E6" w:rsidRPr="001E05E6" w:rsidRDefault="001E05E6" w:rsidP="001E05E6">
      <w:pPr>
        <w:pStyle w:val="NormalWeb"/>
        <w:shd w:val="clear" w:color="auto" w:fill="FFFFFF"/>
        <w:spacing w:before="120" w:beforeAutospacing="0" w:after="120" w:afterAutospacing="0"/>
        <w:rPr>
          <w:rFonts w:ascii="Arial" w:hAnsi="Arial" w:cs="Arial"/>
          <w:color w:val="202122"/>
          <w:sz w:val="18"/>
          <w:szCs w:val="17"/>
        </w:rPr>
      </w:pPr>
      <w:r w:rsidRPr="001E05E6">
        <w:rPr>
          <w:rFonts w:ascii="Arial" w:hAnsi="Arial" w:cs="Arial"/>
          <w:color w:val="202122"/>
          <w:sz w:val="18"/>
          <w:szCs w:val="17"/>
        </w:rPr>
        <w:t>In March 2016, JPMorgan decided not to finance </w:t>
      </w:r>
      <w:hyperlink r:id="rId35" w:tooltip="Coal mine" w:history="1">
        <w:r w:rsidRPr="001E05E6">
          <w:rPr>
            <w:rStyle w:val="Hyperlink"/>
            <w:rFonts w:ascii="Arial" w:hAnsi="Arial" w:cs="Arial"/>
            <w:color w:val="0645AD"/>
            <w:sz w:val="18"/>
            <w:szCs w:val="17"/>
          </w:rPr>
          <w:t>coal mines</w:t>
        </w:r>
      </w:hyperlink>
      <w:r w:rsidRPr="001E05E6">
        <w:rPr>
          <w:rFonts w:ascii="Arial" w:hAnsi="Arial" w:cs="Arial"/>
          <w:color w:val="202122"/>
          <w:sz w:val="18"/>
          <w:szCs w:val="17"/>
        </w:rPr>
        <w:t> and </w:t>
      </w:r>
      <w:hyperlink r:id="rId36" w:tooltip="Coal power plant" w:history="1">
        <w:r w:rsidRPr="001E05E6">
          <w:rPr>
            <w:rStyle w:val="Hyperlink"/>
            <w:rFonts w:ascii="Arial" w:hAnsi="Arial" w:cs="Arial"/>
            <w:color w:val="0645AD"/>
            <w:sz w:val="18"/>
            <w:szCs w:val="17"/>
          </w:rPr>
          <w:t>coal power plants</w:t>
        </w:r>
      </w:hyperlink>
      <w:r w:rsidRPr="001E05E6">
        <w:rPr>
          <w:rFonts w:ascii="Arial" w:hAnsi="Arial" w:cs="Arial"/>
          <w:color w:val="202122"/>
          <w:sz w:val="18"/>
          <w:szCs w:val="17"/>
        </w:rPr>
        <w:t> in wealthy countries.</w:t>
      </w:r>
    </w:p>
    <w:p w:rsidR="001E05E6" w:rsidRPr="001E05E6" w:rsidRDefault="001E05E6" w:rsidP="001E05E6">
      <w:pPr>
        <w:pStyle w:val="NormalWeb"/>
        <w:shd w:val="clear" w:color="auto" w:fill="FFFFFF"/>
        <w:spacing w:before="120" w:beforeAutospacing="0" w:after="120" w:afterAutospacing="0"/>
        <w:rPr>
          <w:rFonts w:ascii="Arial" w:hAnsi="Arial" w:cs="Arial"/>
          <w:color w:val="202122"/>
          <w:sz w:val="18"/>
          <w:szCs w:val="17"/>
        </w:rPr>
      </w:pPr>
      <w:r w:rsidRPr="001E05E6">
        <w:rPr>
          <w:rFonts w:ascii="Arial" w:hAnsi="Arial" w:cs="Arial"/>
          <w:color w:val="202122"/>
          <w:sz w:val="18"/>
          <w:szCs w:val="17"/>
        </w:rPr>
        <w:t xml:space="preserve">In December 2016, 14 former executives of the </w:t>
      </w:r>
      <w:proofErr w:type="spellStart"/>
      <w:r w:rsidRPr="001E05E6">
        <w:rPr>
          <w:rFonts w:ascii="Arial" w:hAnsi="Arial" w:cs="Arial"/>
          <w:color w:val="202122"/>
          <w:sz w:val="18"/>
          <w:szCs w:val="17"/>
        </w:rPr>
        <w:t>Wendel</w:t>
      </w:r>
      <w:proofErr w:type="spellEnd"/>
      <w:r w:rsidRPr="001E05E6">
        <w:rPr>
          <w:rFonts w:ascii="Arial" w:hAnsi="Arial" w:cs="Arial"/>
          <w:color w:val="202122"/>
          <w:sz w:val="18"/>
          <w:szCs w:val="17"/>
        </w:rPr>
        <w:t xml:space="preserve"> investment company faced trial for </w:t>
      </w:r>
      <w:hyperlink r:id="rId37" w:tooltip="Tax-fraud" w:history="1">
        <w:r w:rsidRPr="001E05E6">
          <w:rPr>
            <w:rStyle w:val="Hyperlink"/>
            <w:rFonts w:ascii="Arial" w:hAnsi="Arial" w:cs="Arial"/>
            <w:color w:val="0645AD"/>
            <w:sz w:val="18"/>
            <w:szCs w:val="17"/>
          </w:rPr>
          <w:t>tax fraud</w:t>
        </w:r>
      </w:hyperlink>
      <w:r w:rsidRPr="001E05E6">
        <w:rPr>
          <w:rFonts w:ascii="Arial" w:hAnsi="Arial" w:cs="Arial"/>
          <w:color w:val="202122"/>
          <w:sz w:val="18"/>
          <w:szCs w:val="17"/>
        </w:rPr>
        <w:t xml:space="preserve"> while JP Morgan Chase was to be pursued for complicity. Jean-Bernard </w:t>
      </w:r>
      <w:proofErr w:type="spellStart"/>
      <w:r w:rsidRPr="001E05E6">
        <w:rPr>
          <w:rFonts w:ascii="Arial" w:hAnsi="Arial" w:cs="Arial"/>
          <w:color w:val="202122"/>
          <w:sz w:val="18"/>
          <w:szCs w:val="17"/>
        </w:rPr>
        <w:t>Lafonta</w:t>
      </w:r>
      <w:proofErr w:type="spellEnd"/>
      <w:r w:rsidRPr="001E05E6">
        <w:rPr>
          <w:rFonts w:ascii="Arial" w:hAnsi="Arial" w:cs="Arial"/>
          <w:color w:val="202122"/>
          <w:sz w:val="18"/>
          <w:szCs w:val="17"/>
        </w:rPr>
        <w:t xml:space="preserve"> was convicted December 2015 for spreading false information and insider trading, and fined 1.5 million </w:t>
      </w:r>
      <w:proofErr w:type="spellStart"/>
      <w:r w:rsidRPr="001E05E6">
        <w:rPr>
          <w:rFonts w:ascii="Arial" w:hAnsi="Arial" w:cs="Arial"/>
          <w:color w:val="202122"/>
          <w:sz w:val="18"/>
          <w:szCs w:val="17"/>
        </w:rPr>
        <w:t>euros</w:t>
      </w:r>
      <w:proofErr w:type="spellEnd"/>
      <w:r w:rsidRPr="001E05E6">
        <w:rPr>
          <w:rFonts w:ascii="Arial" w:hAnsi="Arial" w:cs="Arial"/>
          <w:color w:val="202122"/>
          <w:sz w:val="18"/>
          <w:szCs w:val="17"/>
        </w:rPr>
        <w:t>.</w:t>
      </w:r>
    </w:p>
    <w:p w:rsidR="001E05E6" w:rsidRPr="001E05E6" w:rsidRDefault="001E05E6" w:rsidP="001E05E6">
      <w:pPr>
        <w:pStyle w:val="NormalWeb"/>
        <w:shd w:val="clear" w:color="auto" w:fill="FFFFFF"/>
        <w:spacing w:before="120" w:beforeAutospacing="0" w:after="120" w:afterAutospacing="0"/>
        <w:rPr>
          <w:rFonts w:ascii="Arial" w:hAnsi="Arial" w:cs="Arial"/>
          <w:color w:val="202122"/>
          <w:sz w:val="18"/>
          <w:szCs w:val="17"/>
        </w:rPr>
      </w:pPr>
      <w:r w:rsidRPr="001E05E6">
        <w:rPr>
          <w:rFonts w:ascii="Arial" w:hAnsi="Arial" w:cs="Arial"/>
          <w:color w:val="202122"/>
          <w:sz w:val="18"/>
          <w:szCs w:val="17"/>
        </w:rPr>
        <w:t xml:space="preserve">In March 2017, Lawrence </w:t>
      </w:r>
      <w:proofErr w:type="spellStart"/>
      <w:r w:rsidRPr="001E05E6">
        <w:rPr>
          <w:rFonts w:ascii="Arial" w:hAnsi="Arial" w:cs="Arial"/>
          <w:color w:val="202122"/>
          <w:sz w:val="18"/>
          <w:szCs w:val="17"/>
        </w:rPr>
        <w:t>Obracanik</w:t>
      </w:r>
      <w:proofErr w:type="spellEnd"/>
      <w:r w:rsidRPr="001E05E6">
        <w:rPr>
          <w:rFonts w:ascii="Arial" w:hAnsi="Arial" w:cs="Arial"/>
          <w:color w:val="202122"/>
          <w:sz w:val="18"/>
          <w:szCs w:val="17"/>
        </w:rPr>
        <w:t xml:space="preserve">, a former JPMorgan Chase &amp; Co employee, pleaded guilty to criminal charges that he stole more than $5 million from his employer to pay personal </w:t>
      </w:r>
      <w:proofErr w:type="spellStart"/>
      <w:r w:rsidRPr="001E05E6">
        <w:rPr>
          <w:rFonts w:ascii="Arial" w:hAnsi="Arial" w:cs="Arial"/>
          <w:color w:val="202122"/>
          <w:sz w:val="18"/>
          <w:szCs w:val="17"/>
        </w:rPr>
        <w:t>debts.In</w:t>
      </w:r>
      <w:proofErr w:type="spellEnd"/>
      <w:r w:rsidRPr="001E05E6">
        <w:rPr>
          <w:rFonts w:ascii="Arial" w:hAnsi="Arial" w:cs="Arial"/>
          <w:color w:val="202122"/>
          <w:sz w:val="18"/>
          <w:szCs w:val="17"/>
        </w:rPr>
        <w:t xml:space="preserve"> June 2017, Matt </w:t>
      </w:r>
      <w:proofErr w:type="spellStart"/>
      <w:r w:rsidRPr="001E05E6">
        <w:rPr>
          <w:rFonts w:ascii="Arial" w:hAnsi="Arial" w:cs="Arial"/>
          <w:color w:val="202122"/>
          <w:sz w:val="18"/>
          <w:szCs w:val="17"/>
        </w:rPr>
        <w:t>Zames</w:t>
      </w:r>
      <w:proofErr w:type="spellEnd"/>
      <w:r w:rsidRPr="001E05E6">
        <w:rPr>
          <w:rFonts w:ascii="Arial" w:hAnsi="Arial" w:cs="Arial"/>
          <w:color w:val="202122"/>
          <w:sz w:val="18"/>
          <w:szCs w:val="17"/>
        </w:rPr>
        <w:t>, the now-former COO of the bank decided to leave the firm. In December 2017, JP Morgan was sued by the </w:t>
      </w:r>
      <w:hyperlink r:id="rId38" w:tooltip="Federal government of Nigeria" w:history="1">
        <w:r w:rsidRPr="001E05E6">
          <w:rPr>
            <w:rStyle w:val="Hyperlink"/>
            <w:rFonts w:ascii="Arial" w:hAnsi="Arial" w:cs="Arial"/>
            <w:color w:val="0645AD"/>
            <w:sz w:val="18"/>
            <w:szCs w:val="17"/>
          </w:rPr>
          <w:t>Nigerian government</w:t>
        </w:r>
      </w:hyperlink>
      <w:r w:rsidRPr="001E05E6">
        <w:rPr>
          <w:rFonts w:ascii="Arial" w:hAnsi="Arial" w:cs="Arial"/>
          <w:color w:val="202122"/>
          <w:sz w:val="18"/>
          <w:szCs w:val="17"/>
        </w:rPr>
        <w:t> for $875 million, which </w:t>
      </w:r>
      <w:hyperlink r:id="rId39" w:tooltip="Nigeria" w:history="1">
        <w:r w:rsidRPr="001E05E6">
          <w:rPr>
            <w:rStyle w:val="Hyperlink"/>
            <w:rFonts w:ascii="Arial" w:hAnsi="Arial" w:cs="Arial"/>
            <w:color w:val="0645AD"/>
            <w:sz w:val="18"/>
            <w:szCs w:val="17"/>
          </w:rPr>
          <w:t>Nigeria</w:t>
        </w:r>
      </w:hyperlink>
      <w:r w:rsidRPr="001E05E6">
        <w:rPr>
          <w:rFonts w:ascii="Arial" w:hAnsi="Arial" w:cs="Arial"/>
          <w:color w:val="202122"/>
          <w:sz w:val="18"/>
          <w:szCs w:val="17"/>
        </w:rPr>
        <w:t> alleges was transferred by JP Morgan to a corrupt former minister. Nigeria accused JP Morgan of being "grossly negligent".</w:t>
      </w:r>
    </w:p>
    <w:p w:rsidR="001E05E6" w:rsidRPr="001E05E6" w:rsidRDefault="001E05E6" w:rsidP="001E05E6">
      <w:pPr>
        <w:pStyle w:val="NormalWeb"/>
        <w:shd w:val="clear" w:color="auto" w:fill="FFFFFF"/>
        <w:spacing w:before="120" w:beforeAutospacing="0" w:after="120" w:afterAutospacing="0"/>
        <w:rPr>
          <w:rFonts w:ascii="Arial" w:hAnsi="Arial" w:cs="Arial"/>
          <w:color w:val="202122"/>
          <w:sz w:val="18"/>
          <w:szCs w:val="17"/>
        </w:rPr>
      </w:pPr>
      <w:r w:rsidRPr="001E05E6">
        <w:rPr>
          <w:rFonts w:ascii="Arial" w:hAnsi="Arial" w:cs="Arial"/>
          <w:color w:val="202122"/>
          <w:sz w:val="18"/>
          <w:szCs w:val="17"/>
        </w:rPr>
        <w:t>In October 2018, </w:t>
      </w:r>
      <w:hyperlink r:id="rId40" w:tooltip="Reuters" w:history="1">
        <w:r w:rsidRPr="001E05E6">
          <w:rPr>
            <w:rStyle w:val="Hyperlink"/>
            <w:rFonts w:ascii="Arial" w:hAnsi="Arial" w:cs="Arial"/>
            <w:color w:val="0645AD"/>
            <w:sz w:val="18"/>
            <w:szCs w:val="17"/>
          </w:rPr>
          <w:t>Reuters</w:t>
        </w:r>
      </w:hyperlink>
      <w:r w:rsidRPr="001E05E6">
        <w:rPr>
          <w:rFonts w:ascii="Arial" w:hAnsi="Arial" w:cs="Arial"/>
          <w:color w:val="202122"/>
          <w:sz w:val="18"/>
          <w:szCs w:val="17"/>
        </w:rPr>
        <w:t> reported that JP Morgan "agreed to pay $5.3 million to settle allegations it violated </w:t>
      </w:r>
      <w:hyperlink r:id="rId41" w:tooltip="Cuban Assets Control Regulations" w:history="1">
        <w:r w:rsidRPr="001E05E6">
          <w:rPr>
            <w:rStyle w:val="Hyperlink"/>
            <w:rFonts w:ascii="Arial" w:hAnsi="Arial" w:cs="Arial"/>
            <w:color w:val="0645AD"/>
            <w:sz w:val="18"/>
            <w:szCs w:val="17"/>
          </w:rPr>
          <w:t>Cuban Assets Control Regulations</w:t>
        </w:r>
      </w:hyperlink>
      <w:r w:rsidRPr="001E05E6">
        <w:rPr>
          <w:rFonts w:ascii="Arial" w:hAnsi="Arial" w:cs="Arial"/>
          <w:color w:val="202122"/>
          <w:sz w:val="18"/>
          <w:szCs w:val="17"/>
        </w:rPr>
        <w:t>, </w:t>
      </w:r>
      <w:hyperlink r:id="rId42" w:tooltip="United States sanctions against Iran" w:history="1">
        <w:r w:rsidRPr="001E05E6">
          <w:rPr>
            <w:rStyle w:val="Hyperlink"/>
            <w:rFonts w:ascii="Arial" w:hAnsi="Arial" w:cs="Arial"/>
            <w:color w:val="0645AD"/>
            <w:sz w:val="18"/>
            <w:szCs w:val="17"/>
          </w:rPr>
          <w:t>Iranian sanctions</w:t>
        </w:r>
      </w:hyperlink>
      <w:r w:rsidRPr="001E05E6">
        <w:rPr>
          <w:rFonts w:ascii="Arial" w:hAnsi="Arial" w:cs="Arial"/>
          <w:color w:val="202122"/>
          <w:sz w:val="18"/>
          <w:szCs w:val="17"/>
        </w:rPr>
        <w:t> and </w:t>
      </w:r>
      <w:hyperlink r:id="rId43" w:tooltip="Weapon of mass destruction" w:history="1">
        <w:r w:rsidRPr="001E05E6">
          <w:rPr>
            <w:rStyle w:val="Hyperlink"/>
            <w:rFonts w:ascii="Arial" w:hAnsi="Arial" w:cs="Arial"/>
            <w:color w:val="0645AD"/>
            <w:sz w:val="18"/>
            <w:szCs w:val="17"/>
          </w:rPr>
          <w:t>Weapons of Mass Destruction</w:t>
        </w:r>
      </w:hyperlink>
      <w:r w:rsidRPr="001E05E6">
        <w:rPr>
          <w:rFonts w:ascii="Arial" w:hAnsi="Arial" w:cs="Arial"/>
          <w:color w:val="202122"/>
          <w:sz w:val="18"/>
          <w:szCs w:val="17"/>
        </w:rPr>
        <w:t> sanctions 87 times, the U.S. Treasury said".</w:t>
      </w:r>
    </w:p>
    <w:p w:rsidR="001E05E6" w:rsidRPr="001E05E6" w:rsidRDefault="001E05E6" w:rsidP="001E05E6">
      <w:pPr>
        <w:pStyle w:val="NormalWeb"/>
        <w:shd w:val="clear" w:color="auto" w:fill="FFFFFF"/>
        <w:spacing w:before="120" w:beforeAutospacing="0" w:after="120" w:afterAutospacing="0"/>
        <w:rPr>
          <w:rFonts w:ascii="Arial" w:hAnsi="Arial" w:cs="Arial"/>
          <w:color w:val="202122"/>
          <w:sz w:val="18"/>
          <w:szCs w:val="17"/>
        </w:rPr>
      </w:pPr>
      <w:r w:rsidRPr="001E05E6">
        <w:rPr>
          <w:rFonts w:ascii="Arial" w:hAnsi="Arial" w:cs="Arial"/>
          <w:color w:val="202122"/>
          <w:sz w:val="18"/>
          <w:szCs w:val="17"/>
        </w:rPr>
        <w:t>In February 2019, JP Morgan announced the launch of JPM Coin, a </w:t>
      </w:r>
      <w:hyperlink r:id="rId44" w:tooltip="Digital token" w:history="1">
        <w:r w:rsidRPr="001E05E6">
          <w:rPr>
            <w:rStyle w:val="Hyperlink"/>
            <w:rFonts w:ascii="Arial" w:hAnsi="Arial" w:cs="Arial"/>
            <w:color w:val="0645AD"/>
            <w:sz w:val="18"/>
            <w:szCs w:val="17"/>
          </w:rPr>
          <w:t>digital token</w:t>
        </w:r>
      </w:hyperlink>
      <w:r w:rsidRPr="001E05E6">
        <w:rPr>
          <w:rFonts w:ascii="Arial" w:hAnsi="Arial" w:cs="Arial"/>
          <w:color w:val="202122"/>
          <w:sz w:val="18"/>
          <w:szCs w:val="17"/>
        </w:rPr>
        <w:t> that will be used to settle transactions between clients of its wholesale payments business. It would be the first </w:t>
      </w:r>
      <w:proofErr w:type="spellStart"/>
      <w:r w:rsidRPr="001E05E6">
        <w:rPr>
          <w:rFonts w:ascii="Arial" w:hAnsi="Arial" w:cs="Arial"/>
          <w:color w:val="202122"/>
          <w:sz w:val="18"/>
          <w:szCs w:val="17"/>
        </w:rPr>
        <w:fldChar w:fldCharType="begin"/>
      </w:r>
      <w:r w:rsidRPr="001E05E6">
        <w:rPr>
          <w:rFonts w:ascii="Arial" w:hAnsi="Arial" w:cs="Arial"/>
          <w:color w:val="202122"/>
          <w:sz w:val="18"/>
          <w:szCs w:val="17"/>
        </w:rPr>
        <w:instrText xml:space="preserve"> HYPERLINK "https://en.wikipedia.org/wiki/Cryptocurrency" \o "Cryptocurrency" </w:instrText>
      </w:r>
      <w:r w:rsidRPr="001E05E6">
        <w:rPr>
          <w:rFonts w:ascii="Arial" w:hAnsi="Arial" w:cs="Arial"/>
          <w:color w:val="202122"/>
          <w:sz w:val="18"/>
          <w:szCs w:val="17"/>
        </w:rPr>
        <w:fldChar w:fldCharType="separate"/>
      </w:r>
      <w:r w:rsidRPr="001E05E6">
        <w:rPr>
          <w:rStyle w:val="Hyperlink"/>
          <w:rFonts w:ascii="Arial" w:hAnsi="Arial" w:cs="Arial"/>
          <w:color w:val="0645AD"/>
          <w:sz w:val="18"/>
          <w:szCs w:val="17"/>
        </w:rPr>
        <w:t>cryptocurrency</w:t>
      </w:r>
      <w:proofErr w:type="spellEnd"/>
      <w:r w:rsidRPr="001E05E6">
        <w:rPr>
          <w:rFonts w:ascii="Arial" w:hAnsi="Arial" w:cs="Arial"/>
          <w:color w:val="202122"/>
          <w:sz w:val="18"/>
          <w:szCs w:val="17"/>
        </w:rPr>
        <w:fldChar w:fldCharType="end"/>
      </w:r>
      <w:r w:rsidRPr="001E05E6">
        <w:rPr>
          <w:rFonts w:ascii="Arial" w:hAnsi="Arial" w:cs="Arial"/>
          <w:color w:val="202122"/>
          <w:sz w:val="18"/>
          <w:szCs w:val="17"/>
        </w:rPr>
        <w:t> issued by a United States bank.</w:t>
      </w:r>
      <w:hyperlink r:id="rId45" w:anchor="cite_note-103" w:history="1">
        <w:r w:rsidRPr="001E05E6">
          <w:rPr>
            <w:rStyle w:val="Hyperlink"/>
            <w:rFonts w:ascii="Arial" w:hAnsi="Arial" w:cs="Arial"/>
            <w:color w:val="0645AD"/>
            <w:sz w:val="13"/>
            <w:szCs w:val="13"/>
            <w:vertAlign w:val="superscript"/>
          </w:rPr>
          <w:t>]</w:t>
        </w:r>
      </w:hyperlink>
    </w:p>
    <w:p w:rsidR="001E05E6" w:rsidRPr="001E05E6" w:rsidRDefault="001E05E6" w:rsidP="001E05E6">
      <w:pPr>
        <w:pStyle w:val="NormalWeb"/>
        <w:shd w:val="clear" w:color="auto" w:fill="FFFFFF"/>
        <w:spacing w:before="120" w:beforeAutospacing="0" w:after="120" w:afterAutospacing="0"/>
        <w:rPr>
          <w:rFonts w:ascii="Arial" w:hAnsi="Arial" w:cs="Arial"/>
          <w:color w:val="202122"/>
          <w:sz w:val="18"/>
          <w:szCs w:val="17"/>
        </w:rPr>
      </w:pPr>
      <w:r w:rsidRPr="001E05E6">
        <w:rPr>
          <w:rFonts w:ascii="Arial" w:hAnsi="Arial" w:cs="Arial"/>
          <w:color w:val="202122"/>
          <w:sz w:val="18"/>
          <w:szCs w:val="17"/>
        </w:rPr>
        <w:t>On May 14, 2020, </w:t>
      </w:r>
      <w:hyperlink r:id="rId46" w:tooltip="Financial Times" w:history="1">
        <w:r w:rsidRPr="001E05E6">
          <w:rPr>
            <w:rStyle w:val="Hyperlink"/>
            <w:rFonts w:ascii="Arial" w:hAnsi="Arial" w:cs="Arial"/>
            <w:i/>
            <w:iCs/>
            <w:color w:val="0645AD"/>
            <w:sz w:val="18"/>
            <w:szCs w:val="17"/>
          </w:rPr>
          <w:t>Financial Times</w:t>
        </w:r>
      </w:hyperlink>
      <w:r w:rsidRPr="001E05E6">
        <w:rPr>
          <w:rFonts w:ascii="Arial" w:hAnsi="Arial" w:cs="Arial"/>
          <w:color w:val="202122"/>
          <w:sz w:val="18"/>
          <w:szCs w:val="17"/>
        </w:rPr>
        <w:t>, citing a report which revealed how companies are treating employees, their supply chains and other stakeholders, during the </w:t>
      </w:r>
      <w:hyperlink r:id="rId47" w:tooltip="COVID-19 pandemic" w:history="1">
        <w:r w:rsidRPr="001E05E6">
          <w:rPr>
            <w:rStyle w:val="Hyperlink"/>
            <w:rFonts w:ascii="Arial" w:hAnsi="Arial" w:cs="Arial"/>
            <w:color w:val="0645AD"/>
            <w:sz w:val="18"/>
            <w:szCs w:val="17"/>
          </w:rPr>
          <w:t>COVID-19 pandemic</w:t>
        </w:r>
      </w:hyperlink>
      <w:r w:rsidRPr="001E05E6">
        <w:rPr>
          <w:rFonts w:ascii="Arial" w:hAnsi="Arial" w:cs="Arial"/>
          <w:color w:val="202122"/>
          <w:sz w:val="18"/>
          <w:szCs w:val="17"/>
        </w:rPr>
        <w:t>, documented that JP Morgan Asset Management alongside </w:t>
      </w:r>
      <w:hyperlink r:id="rId48" w:tooltip="Fidelity Investments" w:history="1">
        <w:r w:rsidRPr="001E05E6">
          <w:rPr>
            <w:rStyle w:val="Hyperlink"/>
            <w:rFonts w:ascii="Arial" w:hAnsi="Arial" w:cs="Arial"/>
            <w:color w:val="0645AD"/>
            <w:sz w:val="18"/>
            <w:szCs w:val="17"/>
          </w:rPr>
          <w:t>Fidelity Investments</w:t>
        </w:r>
      </w:hyperlink>
      <w:r w:rsidRPr="001E05E6">
        <w:rPr>
          <w:rFonts w:ascii="Arial" w:hAnsi="Arial" w:cs="Arial"/>
          <w:color w:val="202122"/>
          <w:sz w:val="18"/>
          <w:szCs w:val="17"/>
        </w:rPr>
        <w:t> and </w:t>
      </w:r>
      <w:hyperlink r:id="rId49" w:tooltip="The Vanguard Group" w:history="1">
        <w:r w:rsidRPr="001E05E6">
          <w:rPr>
            <w:rStyle w:val="Hyperlink"/>
            <w:rFonts w:ascii="Arial" w:hAnsi="Arial" w:cs="Arial"/>
            <w:color w:val="0645AD"/>
            <w:sz w:val="18"/>
            <w:szCs w:val="17"/>
          </w:rPr>
          <w:t>Vanguard</w:t>
        </w:r>
      </w:hyperlink>
      <w:r w:rsidRPr="001E05E6">
        <w:rPr>
          <w:rFonts w:ascii="Arial" w:hAnsi="Arial" w:cs="Arial"/>
          <w:color w:val="202122"/>
          <w:sz w:val="18"/>
          <w:szCs w:val="17"/>
        </w:rPr>
        <w:t> have been accused of paying lip services to cover human rights violations. The UK based media also referenced that a few of the world's biggest fund houses took the action in order to lessen the impact of abuses, such as </w:t>
      </w:r>
      <w:hyperlink r:id="rId50" w:tooltip="Modern slavery" w:history="1">
        <w:r w:rsidRPr="001E05E6">
          <w:rPr>
            <w:rStyle w:val="Hyperlink"/>
            <w:rFonts w:ascii="Arial" w:hAnsi="Arial" w:cs="Arial"/>
            <w:color w:val="0645AD"/>
            <w:sz w:val="18"/>
            <w:szCs w:val="17"/>
          </w:rPr>
          <w:t>modern slavery</w:t>
        </w:r>
      </w:hyperlink>
      <w:r w:rsidRPr="001E05E6">
        <w:rPr>
          <w:rFonts w:ascii="Arial" w:hAnsi="Arial" w:cs="Arial"/>
          <w:color w:val="202122"/>
          <w:sz w:val="18"/>
          <w:szCs w:val="17"/>
        </w:rPr>
        <w:t xml:space="preserve">, at the companies they invest in. However, JP Morgan replying to the report said that it took "human rights violations very seriously" and "any company with alleged or proven violations of principles, including human rights abuses, is </w:t>
      </w:r>
      <w:proofErr w:type="spellStart"/>
      <w:r w:rsidRPr="001E05E6">
        <w:rPr>
          <w:rFonts w:ascii="Arial" w:hAnsi="Arial" w:cs="Arial"/>
          <w:color w:val="202122"/>
          <w:sz w:val="18"/>
          <w:szCs w:val="17"/>
        </w:rPr>
        <w:t>scrutinised</w:t>
      </w:r>
      <w:proofErr w:type="spellEnd"/>
      <w:r w:rsidRPr="001E05E6">
        <w:rPr>
          <w:rFonts w:ascii="Arial" w:hAnsi="Arial" w:cs="Arial"/>
          <w:color w:val="202122"/>
          <w:sz w:val="18"/>
          <w:szCs w:val="17"/>
        </w:rPr>
        <w:t xml:space="preserve"> and may result in either enhanced engagement or removal from a portfolio."</w:t>
      </w:r>
    </w:p>
    <w:p w:rsidR="001E05E6" w:rsidRPr="001E05E6" w:rsidRDefault="001E05E6" w:rsidP="001E05E6">
      <w:pPr>
        <w:pStyle w:val="NormalWeb"/>
        <w:shd w:val="clear" w:color="auto" w:fill="FFFFFF"/>
        <w:spacing w:before="120" w:beforeAutospacing="0" w:after="120" w:afterAutospacing="0"/>
        <w:rPr>
          <w:rFonts w:ascii="Arial" w:hAnsi="Arial" w:cs="Arial"/>
          <w:color w:val="202122"/>
          <w:sz w:val="18"/>
          <w:szCs w:val="17"/>
        </w:rPr>
      </w:pPr>
      <w:r w:rsidRPr="001E05E6">
        <w:rPr>
          <w:rFonts w:ascii="Arial" w:hAnsi="Arial" w:cs="Arial"/>
          <w:color w:val="202122"/>
          <w:sz w:val="18"/>
          <w:szCs w:val="17"/>
        </w:rPr>
        <w:t>In September 2020, the company admitted that it manipulated precious metals futures and government bond markets in a span period of eight years. It settled with the </w:t>
      </w:r>
      <w:hyperlink r:id="rId51" w:tooltip="United States Department of Justice" w:history="1">
        <w:r w:rsidRPr="001E05E6">
          <w:rPr>
            <w:rStyle w:val="Hyperlink"/>
            <w:rFonts w:ascii="Arial" w:hAnsi="Arial" w:cs="Arial"/>
            <w:color w:val="0645AD"/>
            <w:sz w:val="18"/>
            <w:szCs w:val="17"/>
          </w:rPr>
          <w:t>United States Department of Justice</w:t>
        </w:r>
      </w:hyperlink>
      <w:r w:rsidRPr="001E05E6">
        <w:rPr>
          <w:rFonts w:ascii="Arial" w:hAnsi="Arial" w:cs="Arial"/>
          <w:color w:val="202122"/>
          <w:sz w:val="18"/>
          <w:szCs w:val="17"/>
        </w:rPr>
        <w:t>, </w:t>
      </w:r>
      <w:hyperlink r:id="rId52" w:tooltip="U.S. Securities and Exchange Commission" w:history="1">
        <w:r w:rsidRPr="001E05E6">
          <w:rPr>
            <w:rStyle w:val="Hyperlink"/>
            <w:rFonts w:ascii="Arial" w:hAnsi="Arial" w:cs="Arial"/>
            <w:color w:val="0645AD"/>
            <w:sz w:val="18"/>
            <w:szCs w:val="17"/>
          </w:rPr>
          <w:t>U.S. Securities and Exchange Commission</w:t>
        </w:r>
      </w:hyperlink>
      <w:r w:rsidRPr="001E05E6">
        <w:rPr>
          <w:rFonts w:ascii="Arial" w:hAnsi="Arial" w:cs="Arial"/>
          <w:color w:val="202122"/>
          <w:sz w:val="18"/>
          <w:szCs w:val="17"/>
        </w:rPr>
        <w:t>, and the </w:t>
      </w:r>
      <w:hyperlink r:id="rId53" w:tooltip="Commodity Futures Trading Commission" w:history="1">
        <w:r w:rsidRPr="001E05E6">
          <w:rPr>
            <w:rStyle w:val="Hyperlink"/>
            <w:rFonts w:ascii="Arial" w:hAnsi="Arial" w:cs="Arial"/>
            <w:color w:val="0645AD"/>
            <w:sz w:val="18"/>
            <w:szCs w:val="17"/>
          </w:rPr>
          <w:t>Commodity Futures Trading Commission</w:t>
        </w:r>
      </w:hyperlink>
      <w:r w:rsidRPr="001E05E6">
        <w:rPr>
          <w:rFonts w:ascii="Arial" w:hAnsi="Arial" w:cs="Arial"/>
          <w:color w:val="202122"/>
          <w:sz w:val="18"/>
          <w:szCs w:val="17"/>
        </w:rPr>
        <w:t> for $920 million. JPMorgan will not face criminal charges, however, it will launch into a </w:t>
      </w:r>
      <w:hyperlink r:id="rId54" w:tooltip="Deferred prosecution agreement" w:history="1">
        <w:r w:rsidRPr="001E05E6">
          <w:rPr>
            <w:rStyle w:val="Hyperlink"/>
            <w:rFonts w:ascii="Arial" w:hAnsi="Arial" w:cs="Arial"/>
            <w:color w:val="0645AD"/>
            <w:sz w:val="18"/>
            <w:szCs w:val="17"/>
          </w:rPr>
          <w:t>deferred prosecution agreement</w:t>
        </w:r>
      </w:hyperlink>
      <w:r w:rsidRPr="001E05E6">
        <w:rPr>
          <w:rFonts w:ascii="Arial" w:hAnsi="Arial" w:cs="Arial"/>
          <w:color w:val="202122"/>
          <w:sz w:val="18"/>
          <w:szCs w:val="17"/>
        </w:rPr>
        <w:t> for three years.</w:t>
      </w:r>
    </w:p>
    <w:p w:rsidR="001E05E6" w:rsidRPr="001E05E6" w:rsidRDefault="001E05E6" w:rsidP="001E05E6">
      <w:pPr>
        <w:pStyle w:val="NormalWeb"/>
        <w:shd w:val="clear" w:color="auto" w:fill="FFFFFF"/>
        <w:spacing w:before="120" w:beforeAutospacing="0" w:after="120" w:afterAutospacing="0"/>
        <w:rPr>
          <w:rFonts w:ascii="Arial" w:hAnsi="Arial" w:cs="Arial"/>
          <w:color w:val="202122"/>
          <w:sz w:val="18"/>
          <w:szCs w:val="17"/>
        </w:rPr>
      </w:pPr>
      <w:r w:rsidRPr="001E05E6">
        <w:rPr>
          <w:rFonts w:ascii="Arial" w:hAnsi="Arial" w:cs="Arial"/>
          <w:color w:val="202122"/>
          <w:sz w:val="18"/>
          <w:szCs w:val="17"/>
        </w:rPr>
        <w:t>In 2021, JP Morgan funded the failed attempt to create a </w:t>
      </w:r>
      <w:hyperlink r:id="rId55" w:tooltip="European Super League" w:history="1">
        <w:r w:rsidRPr="001E05E6">
          <w:rPr>
            <w:rStyle w:val="Hyperlink"/>
            <w:rFonts w:ascii="Arial" w:hAnsi="Arial" w:cs="Arial"/>
            <w:color w:val="0645AD"/>
            <w:sz w:val="18"/>
            <w:szCs w:val="17"/>
          </w:rPr>
          <w:t>European Super League</w:t>
        </w:r>
      </w:hyperlink>
      <w:r w:rsidRPr="001E05E6">
        <w:rPr>
          <w:rFonts w:ascii="Arial" w:hAnsi="Arial" w:cs="Arial"/>
          <w:color w:val="202122"/>
          <w:sz w:val="18"/>
          <w:szCs w:val="17"/>
        </w:rPr>
        <w:t> in European soccer, which, if successful, would have ended the meritocratic European pyramid soccer system. JP Morgan's role in the creation of the Super League was instrumental; the investment bank was reported to have worked on it for several years. After a strong backlash, the owners/management of the teams that proposed creating the league pulled out of it</w:t>
      </w:r>
      <w:proofErr w:type="gramStart"/>
      <w:r w:rsidRPr="001E05E6">
        <w:rPr>
          <w:rFonts w:ascii="Arial" w:hAnsi="Arial" w:cs="Arial"/>
          <w:color w:val="202122"/>
          <w:sz w:val="18"/>
          <w:szCs w:val="17"/>
        </w:rPr>
        <w:t>.</w:t>
      </w:r>
      <w:r w:rsidRPr="001E05E6">
        <w:rPr>
          <w:rFonts w:ascii="Arial" w:hAnsi="Arial" w:cs="Arial"/>
          <w:color w:val="202122"/>
          <w:sz w:val="13"/>
          <w:szCs w:val="13"/>
          <w:vertAlign w:val="superscript"/>
        </w:rPr>
        <w:t>[</w:t>
      </w:r>
      <w:proofErr w:type="gramEnd"/>
      <w:r w:rsidRPr="001E05E6">
        <w:rPr>
          <w:rFonts w:ascii="Arial" w:hAnsi="Arial" w:cs="Arial"/>
          <w:color w:val="202122"/>
          <w:sz w:val="18"/>
          <w:szCs w:val="17"/>
        </w:rPr>
        <w:t xml:space="preserve"> After the attempt to end the European football hierarchy failed, JP Morgan apologized for its role in the scheme. JP Morgan </w:t>
      </w:r>
      <w:r w:rsidRPr="001E05E6">
        <w:rPr>
          <w:rFonts w:ascii="Arial" w:hAnsi="Arial" w:cs="Arial"/>
          <w:color w:val="202122"/>
          <w:sz w:val="18"/>
          <w:szCs w:val="17"/>
        </w:rPr>
        <w:lastRenderedPageBreak/>
        <w:t xml:space="preserve">head Jamie </w:t>
      </w:r>
      <w:proofErr w:type="spellStart"/>
      <w:r w:rsidRPr="001E05E6">
        <w:rPr>
          <w:rFonts w:ascii="Arial" w:hAnsi="Arial" w:cs="Arial"/>
          <w:color w:val="202122"/>
          <w:sz w:val="18"/>
          <w:szCs w:val="17"/>
        </w:rPr>
        <w:t>Dimon</w:t>
      </w:r>
      <w:proofErr w:type="spellEnd"/>
      <w:r w:rsidRPr="001E05E6">
        <w:rPr>
          <w:rFonts w:ascii="Arial" w:hAnsi="Arial" w:cs="Arial"/>
          <w:color w:val="202122"/>
          <w:sz w:val="18"/>
          <w:szCs w:val="17"/>
        </w:rPr>
        <w:t xml:space="preserve"> said the company "kind of missed" that football supporters would respond negatively to the Super League.</w:t>
      </w:r>
    </w:p>
    <w:p w:rsidR="001E05E6" w:rsidRPr="001E05E6" w:rsidRDefault="001E05E6" w:rsidP="001E05E6">
      <w:pPr>
        <w:pStyle w:val="NormalWeb"/>
        <w:shd w:val="clear" w:color="auto" w:fill="FFFFFF"/>
        <w:spacing w:before="120" w:beforeAutospacing="0" w:after="120" w:afterAutospacing="0"/>
        <w:rPr>
          <w:rFonts w:ascii="Arial" w:hAnsi="Arial" w:cs="Arial"/>
          <w:color w:val="202122"/>
          <w:sz w:val="18"/>
          <w:szCs w:val="17"/>
        </w:rPr>
      </w:pPr>
      <w:r w:rsidRPr="001E05E6">
        <w:rPr>
          <w:rFonts w:ascii="Arial" w:hAnsi="Arial" w:cs="Arial"/>
          <w:color w:val="202122"/>
          <w:sz w:val="18"/>
          <w:szCs w:val="17"/>
        </w:rPr>
        <w:t>In September 2021, JPMorgan Chase entered the UK retail banking market by launched an app-based </w:t>
      </w:r>
      <w:hyperlink r:id="rId56" w:tooltip="Transaction account" w:history="1">
        <w:r w:rsidRPr="001E05E6">
          <w:rPr>
            <w:rStyle w:val="Hyperlink"/>
            <w:rFonts w:ascii="Arial" w:hAnsi="Arial" w:cs="Arial"/>
            <w:color w:val="0645AD"/>
            <w:sz w:val="18"/>
            <w:szCs w:val="17"/>
          </w:rPr>
          <w:t>current account</w:t>
        </w:r>
      </w:hyperlink>
      <w:r w:rsidRPr="001E05E6">
        <w:rPr>
          <w:rFonts w:ascii="Arial" w:hAnsi="Arial" w:cs="Arial"/>
          <w:color w:val="202122"/>
          <w:sz w:val="18"/>
          <w:szCs w:val="17"/>
        </w:rPr>
        <w:t> under the </w:t>
      </w:r>
      <w:hyperlink r:id="rId57" w:tooltip="Chase (UK)" w:history="1">
        <w:r w:rsidRPr="001E05E6">
          <w:rPr>
            <w:rStyle w:val="Hyperlink"/>
            <w:rFonts w:ascii="Arial" w:hAnsi="Arial" w:cs="Arial"/>
            <w:color w:val="0645AD"/>
            <w:sz w:val="18"/>
            <w:szCs w:val="17"/>
          </w:rPr>
          <w:t>Chase</w:t>
        </w:r>
      </w:hyperlink>
      <w:r w:rsidRPr="001E05E6">
        <w:rPr>
          <w:rFonts w:ascii="Arial" w:hAnsi="Arial" w:cs="Arial"/>
          <w:color w:val="202122"/>
          <w:sz w:val="18"/>
          <w:szCs w:val="17"/>
        </w:rPr>
        <w:t xml:space="preserve"> brand. This is the company's first retail banking operation outside </w:t>
      </w:r>
      <w:proofErr w:type="gramStart"/>
      <w:r w:rsidRPr="001E05E6">
        <w:rPr>
          <w:rFonts w:ascii="Arial" w:hAnsi="Arial" w:cs="Arial"/>
          <w:color w:val="202122"/>
          <w:sz w:val="18"/>
          <w:szCs w:val="17"/>
        </w:rPr>
        <w:t>the of</w:t>
      </w:r>
      <w:proofErr w:type="gramEnd"/>
      <w:r w:rsidRPr="001E05E6">
        <w:rPr>
          <w:rFonts w:ascii="Arial" w:hAnsi="Arial" w:cs="Arial"/>
          <w:color w:val="202122"/>
          <w:sz w:val="18"/>
          <w:szCs w:val="17"/>
        </w:rPr>
        <w:t xml:space="preserve"> United States.</w:t>
      </w:r>
    </w:p>
    <w:p w:rsidR="008403EB" w:rsidRPr="008403EB" w:rsidRDefault="008403EB" w:rsidP="008403EB">
      <w:pPr>
        <w:pBdr>
          <w:bottom w:val="single" w:sz="4"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8403EB">
        <w:rPr>
          <w:rFonts w:ascii="Georgia" w:eastAsia="Times New Roman" w:hAnsi="Georgia" w:cs="Times New Roman"/>
          <w:color w:val="000000"/>
          <w:sz w:val="36"/>
          <w:szCs w:val="36"/>
        </w:rPr>
        <w:t>Financial data</w:t>
      </w:r>
    </w:p>
    <w:tbl>
      <w:tblPr>
        <w:tblW w:w="0" w:type="auto"/>
        <w:tblBorders>
          <w:top w:val="single" w:sz="4" w:space="0" w:color="A2A9B1"/>
          <w:left w:val="single" w:sz="4" w:space="0" w:color="A2A9B1"/>
          <w:bottom w:val="single" w:sz="4" w:space="0" w:color="A2A9B1"/>
          <w:right w:val="single" w:sz="4" w:space="0" w:color="A2A9B1"/>
        </w:tblBorders>
        <w:shd w:val="clear" w:color="auto" w:fill="F8F9FA"/>
        <w:tblCellMar>
          <w:top w:w="15" w:type="dxa"/>
          <w:left w:w="15" w:type="dxa"/>
          <w:bottom w:w="15" w:type="dxa"/>
          <w:right w:w="15" w:type="dxa"/>
        </w:tblCellMar>
        <w:tblLook w:val="04A0"/>
      </w:tblPr>
      <w:tblGrid>
        <w:gridCol w:w="650"/>
        <w:gridCol w:w="381"/>
        <w:gridCol w:w="381"/>
        <w:gridCol w:w="381"/>
        <w:gridCol w:w="381"/>
        <w:gridCol w:w="381"/>
        <w:gridCol w:w="381"/>
        <w:gridCol w:w="381"/>
        <w:gridCol w:w="381"/>
        <w:gridCol w:w="381"/>
        <w:gridCol w:w="381"/>
        <w:gridCol w:w="382"/>
        <w:gridCol w:w="382"/>
        <w:gridCol w:w="382"/>
        <w:gridCol w:w="382"/>
        <w:gridCol w:w="382"/>
        <w:gridCol w:w="382"/>
        <w:gridCol w:w="382"/>
        <w:gridCol w:w="382"/>
        <w:gridCol w:w="382"/>
        <w:gridCol w:w="382"/>
        <w:gridCol w:w="424"/>
        <w:gridCol w:w="424"/>
        <w:gridCol w:w="424"/>
      </w:tblGrid>
      <w:tr w:rsidR="008403EB" w:rsidRPr="008403EB" w:rsidTr="008403EB">
        <w:tc>
          <w:tcPr>
            <w:tcW w:w="0" w:type="auto"/>
            <w:gridSpan w:val="24"/>
            <w:tcBorders>
              <w:top w:val="nil"/>
              <w:left w:val="nil"/>
              <w:bottom w:val="nil"/>
              <w:right w:val="nil"/>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 xml:space="preserve">Financial data in billions of US dollars </w:t>
            </w:r>
          </w:p>
        </w:tc>
      </w:tr>
      <w:tr w:rsidR="008403EB" w:rsidRPr="008403EB" w:rsidTr="008403EB">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Year</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1998</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1999</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2000</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2001</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2002</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2003</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2004</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2005</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2006</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2007</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2008</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2009</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2010</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2011</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2012</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2013</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2014</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2015</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2016</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2017</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2018</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2019</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rsidR="008403EB" w:rsidRPr="008403EB" w:rsidRDefault="008403EB" w:rsidP="008403EB">
            <w:pPr>
              <w:spacing w:before="240" w:after="240" w:line="240" w:lineRule="auto"/>
              <w:jc w:val="center"/>
              <w:rPr>
                <w:rFonts w:ascii="Arial" w:eastAsia="Times New Roman" w:hAnsi="Arial" w:cs="Arial"/>
                <w:b/>
                <w:bCs/>
                <w:color w:val="202122"/>
                <w:sz w:val="14"/>
                <w:szCs w:val="14"/>
              </w:rPr>
            </w:pPr>
            <w:r w:rsidRPr="008403EB">
              <w:rPr>
                <w:rFonts w:ascii="Arial" w:eastAsia="Times New Roman" w:hAnsi="Arial" w:cs="Arial"/>
                <w:b/>
                <w:bCs/>
                <w:color w:val="202122"/>
                <w:sz w:val="14"/>
                <w:szCs w:val="14"/>
              </w:rPr>
              <w:t>2020</w:t>
            </w:r>
          </w:p>
        </w:tc>
      </w:tr>
      <w:tr w:rsidR="008403EB" w:rsidRPr="008403EB" w:rsidTr="008403EB">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hyperlink r:id="rId58" w:tooltip="Revenue" w:history="1">
              <w:r w:rsidRPr="008403EB">
                <w:rPr>
                  <w:rFonts w:ascii="Arial" w:eastAsia="Times New Roman" w:hAnsi="Arial" w:cs="Arial"/>
                  <w:color w:val="0645AD"/>
                  <w:sz w:val="14"/>
                </w:rPr>
                <w:t>Revenue</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25.87</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31.15</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33.19</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29.34</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29.61</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33.19</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42.74</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54.25</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62.00</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71.37</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67.25</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100.4</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102.7</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97.23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97.03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96.61</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94.21</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93.54</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95.67</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99.62</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109.03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115.40</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119.54</w:t>
            </w:r>
          </w:p>
        </w:tc>
      </w:tr>
      <w:tr w:rsidR="008403EB" w:rsidRPr="008403EB" w:rsidTr="008403EB">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hyperlink r:id="rId59" w:tooltip="Net income" w:history="1">
              <w:r w:rsidRPr="008403EB">
                <w:rPr>
                  <w:rFonts w:ascii="Arial" w:eastAsia="Times New Roman" w:hAnsi="Arial" w:cs="Arial"/>
                  <w:color w:val="0645AD"/>
                  <w:sz w:val="14"/>
                </w:rPr>
                <w:t>Net income</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4.745</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7.501</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5.727</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1.694</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1.663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6.719</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4.466</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8.483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14.44</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15.37</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5.605</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11.73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17.37</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18.98</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21.28</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17.92</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21.76</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24.44</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24.73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24.44</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32.47</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36.43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29.13</w:t>
            </w:r>
          </w:p>
        </w:tc>
      </w:tr>
      <w:tr w:rsidR="008403EB" w:rsidRPr="008403EB" w:rsidTr="008403EB">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hyperlink r:id="rId60" w:tooltip="Asset" w:history="1">
              <w:r w:rsidRPr="008403EB">
                <w:rPr>
                  <w:rFonts w:ascii="Arial" w:eastAsia="Times New Roman" w:hAnsi="Arial" w:cs="Arial"/>
                  <w:color w:val="0645AD"/>
                  <w:sz w:val="14"/>
                </w:rPr>
                <w:t>Assets</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626.9</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667.0</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715.3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693.6</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758.8</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770.9</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1,157</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1,199</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1,352</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1,562</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2,175</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2,032</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2,118</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2,266</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2,359</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2,416</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2,573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2,352</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2,491</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2,534</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2,623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2,687</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3,386</w:t>
            </w:r>
          </w:p>
        </w:tc>
      </w:tr>
      <w:tr w:rsidR="008403EB" w:rsidRPr="008403EB" w:rsidTr="008403EB">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hyperlink r:id="rId61" w:tooltip="Equity (finance)" w:history="1">
              <w:r w:rsidRPr="008403EB">
                <w:rPr>
                  <w:rFonts w:ascii="Arial" w:eastAsia="Times New Roman" w:hAnsi="Arial" w:cs="Arial"/>
                  <w:color w:val="0645AD"/>
                  <w:sz w:val="14"/>
                </w:rPr>
                <w:t>Equity</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35.10</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35.06</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42.34</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41.10</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42.31</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46.15</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105.7</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107.2</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115.8</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123.2</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166.9</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165.4</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176.1</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183.6</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204.1</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210.9</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231.7</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247.6</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254.2</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255.7</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256.5</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261.3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279.4</w:t>
            </w:r>
          </w:p>
        </w:tc>
      </w:tr>
      <w:tr w:rsidR="008403EB" w:rsidRPr="008403EB" w:rsidTr="008403EB">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hyperlink r:id="rId62" w:tooltip="Market capitalization" w:history="1">
              <w:r w:rsidRPr="008403EB">
                <w:rPr>
                  <w:rFonts w:ascii="Arial" w:eastAsia="Times New Roman" w:hAnsi="Arial" w:cs="Arial"/>
                  <w:color w:val="0645AD"/>
                  <w:sz w:val="14"/>
                </w:rPr>
                <w:t>Capitalization</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75.03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138.7</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138.4</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167.2</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147.0</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117.7</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164.3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165.9</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125.4</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167.3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219.7</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232.5</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241.9</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307.3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366.3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319.8</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429.9</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387.5</w:t>
            </w:r>
          </w:p>
        </w:tc>
      </w:tr>
      <w:tr w:rsidR="008403EB" w:rsidRPr="008403EB" w:rsidTr="008403EB">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hyperlink r:id="rId63" w:tooltip="Headcount (page does not exist)" w:history="1">
              <w:r w:rsidRPr="008403EB">
                <w:rPr>
                  <w:rFonts w:ascii="Arial" w:eastAsia="Times New Roman" w:hAnsi="Arial" w:cs="Arial"/>
                  <w:color w:val="BA0000"/>
                  <w:sz w:val="14"/>
                </w:rPr>
                <w:t>Headcount</w:t>
              </w:r>
            </w:hyperlink>
            <w:r w:rsidRPr="008403EB">
              <w:rPr>
                <w:rFonts w:ascii="Arial" w:eastAsia="Times New Roman" w:hAnsi="Arial" w:cs="Arial"/>
                <w:color w:val="202122"/>
                <w:sz w:val="14"/>
                <w:szCs w:val="14"/>
              </w:rPr>
              <w:t> </w:t>
            </w:r>
            <w:r w:rsidRPr="008403EB">
              <w:rPr>
                <w:rFonts w:ascii="Arial" w:eastAsia="Times New Roman" w:hAnsi="Arial" w:cs="Arial"/>
                <w:color w:val="202122"/>
                <w:sz w:val="12"/>
                <w:szCs w:val="12"/>
              </w:rPr>
              <w:t>(in thousands)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96.37</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161.0</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168.8</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174.4</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180.7</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225.0</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222.3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239.8</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260.2</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259.0</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251.2</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241.4</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234.6</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243.4</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252.5</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256.1</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257.0</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rsidR="008403EB" w:rsidRPr="008403EB" w:rsidRDefault="008403EB" w:rsidP="008403EB">
            <w:pPr>
              <w:spacing w:before="240" w:after="240" w:line="240" w:lineRule="auto"/>
              <w:rPr>
                <w:rFonts w:ascii="Arial" w:eastAsia="Times New Roman" w:hAnsi="Arial" w:cs="Arial"/>
                <w:color w:val="202122"/>
                <w:sz w:val="14"/>
                <w:szCs w:val="14"/>
              </w:rPr>
            </w:pPr>
            <w:r w:rsidRPr="008403EB">
              <w:rPr>
                <w:rFonts w:ascii="Arial" w:eastAsia="Times New Roman" w:hAnsi="Arial" w:cs="Arial"/>
                <w:color w:val="202122"/>
                <w:sz w:val="14"/>
                <w:szCs w:val="14"/>
              </w:rPr>
              <w:t>255.4</w:t>
            </w:r>
          </w:p>
        </w:tc>
      </w:tr>
    </w:tbl>
    <w:p w:rsidR="008403EB" w:rsidRDefault="008403EB" w:rsidP="001E05E6">
      <w:pPr>
        <w:pStyle w:val="NormalWeb"/>
        <w:shd w:val="clear" w:color="auto" w:fill="FFFFFF"/>
        <w:spacing w:after="360" w:afterAutospacing="0"/>
        <w:rPr>
          <w:rFonts w:ascii="Arial" w:hAnsi="Arial" w:cs="Arial"/>
          <w:b/>
          <w:color w:val="202122"/>
          <w:sz w:val="18"/>
          <w:szCs w:val="12"/>
          <w:shd w:val="clear" w:color="auto" w:fill="FFFFFF"/>
        </w:rPr>
      </w:pPr>
      <w:r w:rsidRPr="008403EB">
        <w:rPr>
          <w:rFonts w:ascii="Arial" w:hAnsi="Arial" w:cs="Arial"/>
          <w:b/>
          <w:color w:val="202122"/>
          <w:sz w:val="18"/>
          <w:szCs w:val="12"/>
          <w:shd w:val="clear" w:color="auto" w:fill="FFFFFF"/>
        </w:rPr>
        <w:t>Note. For years 1998, 1999, and 2000 figures are combined for The Chase Manhattan Corporation and J.P.</w:t>
      </w:r>
      <w:r>
        <w:rPr>
          <w:rFonts w:ascii="Arial" w:hAnsi="Arial" w:cs="Arial"/>
          <w:b/>
          <w:color w:val="202122"/>
          <w:sz w:val="18"/>
          <w:szCs w:val="12"/>
          <w:shd w:val="clear" w:color="auto" w:fill="FFFFFF"/>
        </w:rPr>
        <w:t xml:space="preserve"> </w:t>
      </w:r>
      <w:r w:rsidRPr="008403EB">
        <w:rPr>
          <w:rFonts w:ascii="Arial" w:hAnsi="Arial" w:cs="Arial"/>
          <w:b/>
          <w:color w:val="202122"/>
          <w:sz w:val="18"/>
          <w:szCs w:val="12"/>
          <w:shd w:val="clear" w:color="auto" w:fill="FFFFFF"/>
        </w:rPr>
        <w:t>Morgan &amp; Co. Incorporated as if a merger between them already happened.</w:t>
      </w:r>
    </w:p>
    <w:p w:rsidR="008403EB" w:rsidRPr="008403EB" w:rsidRDefault="008403EB" w:rsidP="001E05E6">
      <w:pPr>
        <w:pStyle w:val="NormalWeb"/>
        <w:shd w:val="clear" w:color="auto" w:fill="FFFFFF"/>
        <w:spacing w:after="360" w:afterAutospacing="0"/>
        <w:rPr>
          <w:rFonts w:ascii="Arial" w:hAnsi="Arial" w:cs="Arial"/>
          <w:b/>
          <w:color w:val="202122"/>
          <w:sz w:val="28"/>
          <w:szCs w:val="12"/>
          <w:shd w:val="clear" w:color="auto" w:fill="FFFFFF"/>
        </w:rPr>
      </w:pPr>
      <w:r w:rsidRPr="008403EB">
        <w:rPr>
          <w:rFonts w:ascii="Arial" w:hAnsi="Arial" w:cs="Arial"/>
          <w:color w:val="202122"/>
          <w:sz w:val="22"/>
          <w:szCs w:val="14"/>
          <w:shd w:val="clear" w:color="auto" w:fill="FFFFFF"/>
        </w:rPr>
        <w:t>JPMorgan Chase</w:t>
      </w:r>
      <w:r>
        <w:rPr>
          <w:rFonts w:ascii="Arial" w:hAnsi="Arial" w:cs="Arial"/>
          <w:color w:val="202122"/>
          <w:sz w:val="18"/>
          <w:szCs w:val="11"/>
          <w:shd w:val="clear" w:color="auto" w:fill="FFFFFF"/>
          <w:vertAlign w:val="superscript"/>
        </w:rPr>
        <w:t xml:space="preserve"> </w:t>
      </w:r>
      <w:r w:rsidRPr="008403EB">
        <w:rPr>
          <w:rFonts w:ascii="Arial" w:hAnsi="Arial" w:cs="Arial"/>
          <w:color w:val="202122"/>
          <w:sz w:val="22"/>
          <w:szCs w:val="14"/>
          <w:shd w:val="clear" w:color="auto" w:fill="FFFFFF"/>
        </w:rPr>
        <w:t>was the biggest bank at the end of 2008 as an individual bank (not including subsidiaries). As of 2020, JPMorgan Chase is ranked 17 on the </w:t>
      </w:r>
      <w:hyperlink r:id="rId64" w:tooltip="Fortune 500" w:history="1">
        <w:r w:rsidRPr="008403EB">
          <w:rPr>
            <w:rStyle w:val="Hyperlink"/>
            <w:rFonts w:ascii="Arial" w:hAnsi="Arial" w:cs="Arial"/>
            <w:color w:val="0645AD"/>
            <w:sz w:val="22"/>
            <w:szCs w:val="14"/>
            <w:shd w:val="clear" w:color="auto" w:fill="FFFFFF"/>
          </w:rPr>
          <w:t>Fortune 500</w:t>
        </w:r>
      </w:hyperlink>
      <w:r w:rsidRPr="008403EB">
        <w:rPr>
          <w:rFonts w:ascii="Arial" w:hAnsi="Arial" w:cs="Arial"/>
          <w:color w:val="202122"/>
          <w:sz w:val="22"/>
          <w:szCs w:val="14"/>
          <w:shd w:val="clear" w:color="auto" w:fill="FFFFFF"/>
        </w:rPr>
        <w:t> rankings of the largest United States corporations by total revenue.</w:t>
      </w:r>
    </w:p>
    <w:p w:rsidR="008403EB" w:rsidRDefault="008403EB">
      <w:pPr>
        <w:rPr>
          <w:rFonts w:ascii="Arial" w:eastAsia="Times New Roman" w:hAnsi="Arial" w:cs="Arial"/>
          <w:b/>
          <w:color w:val="202122"/>
          <w:sz w:val="18"/>
          <w:szCs w:val="12"/>
          <w:shd w:val="clear" w:color="auto" w:fill="FFFFFF"/>
        </w:rPr>
      </w:pPr>
      <w:r>
        <w:rPr>
          <w:rFonts w:ascii="Arial" w:hAnsi="Arial" w:cs="Arial"/>
          <w:b/>
          <w:color w:val="202122"/>
          <w:sz w:val="18"/>
          <w:szCs w:val="12"/>
          <w:shd w:val="clear" w:color="auto" w:fill="FFFFFF"/>
        </w:rPr>
        <w:br w:type="page"/>
      </w:r>
    </w:p>
    <w:p w:rsidR="008403EB" w:rsidRPr="008403EB" w:rsidRDefault="008403EB" w:rsidP="008403EB">
      <w:pPr>
        <w:pStyle w:val="Heading2"/>
        <w:pBdr>
          <w:bottom w:val="single" w:sz="4" w:space="0" w:color="A2A9B1"/>
        </w:pBdr>
        <w:shd w:val="clear" w:color="auto" w:fill="FFFFFF"/>
        <w:spacing w:before="240" w:beforeAutospacing="0" w:after="60" w:afterAutospacing="0"/>
        <w:rPr>
          <w:rFonts w:ascii="Georgia" w:hAnsi="Georgia"/>
          <w:bCs w:val="0"/>
          <w:color w:val="000000"/>
          <w:sz w:val="40"/>
        </w:rPr>
      </w:pPr>
      <w:r>
        <w:rPr>
          <w:rStyle w:val="mw-headline"/>
          <w:rFonts w:ascii="Georgia" w:hAnsi="Georgia"/>
          <w:b w:val="0"/>
          <w:bCs w:val="0"/>
          <w:color w:val="000000"/>
        </w:rPr>
        <w:lastRenderedPageBreak/>
        <w:t xml:space="preserve">                            </w:t>
      </w:r>
      <w:r w:rsidRPr="008403EB">
        <w:rPr>
          <w:rStyle w:val="mw-headline"/>
          <w:rFonts w:ascii="Georgia" w:hAnsi="Georgia"/>
          <w:bCs w:val="0"/>
          <w:color w:val="000000"/>
          <w:sz w:val="40"/>
        </w:rPr>
        <w:t>CEO-to-worker pay ratio</w:t>
      </w:r>
    </w:p>
    <w:p w:rsidR="001E05E6" w:rsidRDefault="008403EB" w:rsidP="001E05E6">
      <w:pPr>
        <w:pStyle w:val="NormalWeb"/>
        <w:shd w:val="clear" w:color="auto" w:fill="FFFFFF"/>
        <w:spacing w:after="360" w:afterAutospacing="0"/>
        <w:rPr>
          <w:rFonts w:ascii="Tahoma" w:hAnsi="Tahoma" w:cs="Tahoma"/>
          <w:color w:val="333333"/>
          <w:szCs w:val="19"/>
        </w:rPr>
      </w:pPr>
      <w:r w:rsidRPr="008403EB">
        <w:rPr>
          <w:rFonts w:ascii="Tahoma" w:hAnsi="Tahoma" w:cs="Tahoma"/>
          <w:color w:val="333333"/>
          <w:szCs w:val="19"/>
        </w:rPr>
        <w:t>A new Securities and Exchange Commission rule mandated by the 2010 Dodd-Frank financial reform requires publicly traded companies to disclose how their CEOs are compensated in comparison to their employees for the first time in 2018. Companies must disclose their "Pay Ratios" in public filings, which are the CEO's pay divided by the median employee's pay.</w:t>
      </w:r>
    </w:p>
    <w:p w:rsidR="008403EB" w:rsidRPr="008403EB" w:rsidRDefault="008403EB" w:rsidP="008403EB">
      <w:pPr>
        <w:pStyle w:val="NormalWeb"/>
        <w:shd w:val="clear" w:color="auto" w:fill="FFFFFF"/>
        <w:spacing w:after="360"/>
        <w:rPr>
          <w:rFonts w:ascii="Tahoma" w:hAnsi="Tahoma" w:cs="Tahoma"/>
          <w:color w:val="333333"/>
          <w:szCs w:val="19"/>
        </w:rPr>
      </w:pPr>
      <w:r w:rsidRPr="008403EB">
        <w:rPr>
          <w:rFonts w:ascii="Tahoma" w:hAnsi="Tahoma" w:cs="Tahoma"/>
          <w:color w:val="333333"/>
          <w:szCs w:val="19"/>
        </w:rPr>
        <w:t>2017</w:t>
      </w:r>
    </w:p>
    <w:p w:rsidR="008403EB" w:rsidRPr="008403EB" w:rsidRDefault="008403EB" w:rsidP="008403EB">
      <w:pPr>
        <w:pStyle w:val="NormalWeb"/>
        <w:shd w:val="clear" w:color="auto" w:fill="FFFFFF"/>
        <w:spacing w:after="360"/>
        <w:rPr>
          <w:rFonts w:ascii="Tahoma" w:hAnsi="Tahoma" w:cs="Tahoma"/>
          <w:color w:val="333333"/>
          <w:szCs w:val="19"/>
        </w:rPr>
      </w:pPr>
      <w:r w:rsidRPr="008403EB">
        <w:rPr>
          <w:rFonts w:ascii="Tahoma" w:hAnsi="Tahoma" w:cs="Tahoma"/>
          <w:color w:val="333333"/>
          <w:szCs w:val="19"/>
        </w:rPr>
        <w:t>JPMorgan Chase &amp; Co. paid its CEO $28,320,175 in 2017, according to SEC filings. In 2017, the average worker at JPMorgan Chase &amp; Co. was paid $77,799, resulting in a CEO-to-worker Pay Ratio of 364 to 1. Nucor represented the median CEO-to-worker Pay Ratio from SEC filings in April 2018, with a value of 133 to 1. According to Bloomberg Business week on May 2, 2013, the ratio of CEO pay to the average worker increased from about 20-to-1 in the 1950s to 120-to-1 in 2000.</w:t>
      </w:r>
    </w:p>
    <w:p w:rsidR="008403EB" w:rsidRPr="008403EB" w:rsidRDefault="008403EB" w:rsidP="008403EB">
      <w:pPr>
        <w:pStyle w:val="NormalWeb"/>
        <w:shd w:val="clear" w:color="auto" w:fill="FFFFFF"/>
        <w:spacing w:after="360"/>
        <w:rPr>
          <w:rFonts w:ascii="Tahoma" w:hAnsi="Tahoma" w:cs="Tahoma"/>
          <w:color w:val="333333"/>
          <w:szCs w:val="19"/>
        </w:rPr>
      </w:pPr>
    </w:p>
    <w:p w:rsidR="008403EB" w:rsidRDefault="008403EB" w:rsidP="008403EB">
      <w:pPr>
        <w:pStyle w:val="NormalWeb"/>
        <w:shd w:val="clear" w:color="auto" w:fill="FFFFFF"/>
        <w:spacing w:after="360"/>
        <w:rPr>
          <w:rFonts w:ascii="Tahoma" w:hAnsi="Tahoma" w:cs="Tahoma"/>
          <w:color w:val="333333"/>
          <w:szCs w:val="19"/>
        </w:rPr>
      </w:pPr>
      <w:r w:rsidRPr="008403EB">
        <w:rPr>
          <w:rFonts w:ascii="Tahoma" w:hAnsi="Tahoma" w:cs="Tahoma"/>
          <w:color w:val="333333"/>
          <w:szCs w:val="19"/>
        </w:rPr>
        <w:t xml:space="preserve">2018 </w:t>
      </w:r>
    </w:p>
    <w:p w:rsidR="008403EB" w:rsidRPr="008403EB" w:rsidRDefault="008403EB" w:rsidP="008403EB">
      <w:pPr>
        <w:pStyle w:val="NormalWeb"/>
        <w:shd w:val="clear" w:color="auto" w:fill="FFFFFF"/>
        <w:spacing w:after="360"/>
        <w:rPr>
          <w:rFonts w:ascii="Tahoma" w:hAnsi="Tahoma" w:cs="Tahoma"/>
          <w:color w:val="333333"/>
          <w:szCs w:val="19"/>
        </w:rPr>
      </w:pPr>
      <w:r w:rsidRPr="008403EB">
        <w:rPr>
          <w:rFonts w:ascii="Tahoma" w:hAnsi="Tahoma" w:cs="Tahoma"/>
          <w:color w:val="333333"/>
          <w:szCs w:val="19"/>
        </w:rPr>
        <w:t xml:space="preserve">Total compensation for Jamie Demon, CEO, was $30,040,153 in 2018, and the median employee's total compensation was determined to be $78,923. The pay ratio that resulted </w:t>
      </w:r>
      <w:r w:rsidR="001A5439">
        <w:rPr>
          <w:rFonts w:ascii="Tahoma" w:hAnsi="Tahoma" w:cs="Tahoma"/>
          <w:color w:val="333333"/>
          <w:szCs w:val="19"/>
        </w:rPr>
        <w:t xml:space="preserve">was estimated to be 381:1. </w:t>
      </w:r>
    </w:p>
    <w:p w:rsidR="008403EB" w:rsidRPr="008403EB" w:rsidRDefault="008403EB" w:rsidP="008403EB">
      <w:pPr>
        <w:pStyle w:val="NormalWeb"/>
        <w:shd w:val="clear" w:color="auto" w:fill="FFFFFF"/>
        <w:spacing w:after="360"/>
        <w:rPr>
          <w:rFonts w:ascii="Tahoma" w:hAnsi="Tahoma" w:cs="Tahoma"/>
          <w:color w:val="333333"/>
          <w:szCs w:val="19"/>
        </w:rPr>
      </w:pPr>
    </w:p>
    <w:p w:rsidR="008403EB" w:rsidRPr="008403EB" w:rsidRDefault="008403EB" w:rsidP="008403EB">
      <w:pPr>
        <w:pStyle w:val="NormalWeb"/>
        <w:shd w:val="clear" w:color="auto" w:fill="FFFFFF"/>
        <w:spacing w:after="360" w:afterAutospacing="0"/>
        <w:rPr>
          <w:rFonts w:ascii="Tahoma" w:hAnsi="Tahoma" w:cs="Tahoma"/>
          <w:color w:val="333333"/>
          <w:szCs w:val="19"/>
        </w:rPr>
      </w:pPr>
    </w:p>
    <w:p w:rsidR="0069429F" w:rsidRDefault="0069429F" w:rsidP="0069429F">
      <w:pPr>
        <w:pStyle w:val="NormalWeb"/>
        <w:shd w:val="clear" w:color="auto" w:fill="FFFFFF"/>
        <w:spacing w:after="360" w:afterAutospacing="0"/>
        <w:rPr>
          <w:rFonts w:ascii="Tahoma" w:hAnsi="Tahoma" w:cs="Tahoma"/>
          <w:b/>
          <w:color w:val="333333"/>
          <w:szCs w:val="19"/>
        </w:rPr>
      </w:pPr>
    </w:p>
    <w:p w:rsidR="0069429F" w:rsidRPr="0069429F" w:rsidRDefault="0069429F" w:rsidP="0069429F">
      <w:pPr>
        <w:pStyle w:val="NormalWeb"/>
        <w:shd w:val="clear" w:color="auto" w:fill="FFFFFF"/>
        <w:spacing w:after="360" w:afterAutospacing="0"/>
        <w:ind w:left="720"/>
        <w:rPr>
          <w:rFonts w:ascii="Tahoma" w:hAnsi="Tahoma" w:cs="Tahoma"/>
          <w:b/>
          <w:color w:val="333333"/>
          <w:szCs w:val="19"/>
        </w:rPr>
      </w:pPr>
    </w:p>
    <w:p w:rsidR="001A5439" w:rsidRDefault="001A5439">
      <w:pPr>
        <w:rPr>
          <w:b/>
          <w:sz w:val="32"/>
        </w:rPr>
      </w:pPr>
    </w:p>
    <w:p w:rsidR="001A5439" w:rsidRDefault="001A5439">
      <w:pPr>
        <w:rPr>
          <w:b/>
          <w:sz w:val="32"/>
        </w:rPr>
      </w:pPr>
      <w:r>
        <w:rPr>
          <w:b/>
          <w:sz w:val="32"/>
        </w:rPr>
        <w:br w:type="page"/>
      </w:r>
    </w:p>
    <w:p w:rsidR="00B70F35" w:rsidRDefault="001A5439">
      <w:pPr>
        <w:rPr>
          <w:b/>
          <w:sz w:val="36"/>
        </w:rPr>
      </w:pPr>
      <w:r>
        <w:rPr>
          <w:b/>
          <w:sz w:val="32"/>
        </w:rPr>
        <w:lastRenderedPageBreak/>
        <w:t xml:space="preserve">                                      </w:t>
      </w:r>
      <w:r w:rsidRPr="001A5439">
        <w:rPr>
          <w:b/>
          <w:sz w:val="36"/>
        </w:rPr>
        <w:t>Organizational Structure</w:t>
      </w:r>
    </w:p>
    <w:p w:rsidR="001A5439" w:rsidRDefault="001A5439">
      <w:pPr>
        <w:rPr>
          <w:rFonts w:ascii="Arial" w:hAnsi="Arial" w:cs="Arial"/>
          <w:b/>
          <w:color w:val="202122"/>
          <w:sz w:val="20"/>
          <w:szCs w:val="14"/>
          <w:shd w:val="clear" w:color="auto" w:fill="FFFFFF"/>
        </w:rPr>
      </w:pPr>
      <w:r w:rsidRPr="001A5439">
        <w:rPr>
          <w:rFonts w:ascii="Arial" w:hAnsi="Arial" w:cs="Arial"/>
          <w:b/>
          <w:color w:val="202122"/>
          <w:sz w:val="20"/>
          <w:szCs w:val="14"/>
          <w:shd w:val="clear" w:color="auto" w:fill="FFFFFF"/>
        </w:rPr>
        <w:t>J P Morgan Chase &amp; Co. owns 5 bank subsidiaries in the United States:</w:t>
      </w:r>
    </w:p>
    <w:p w:rsidR="001A5439" w:rsidRPr="001A5439" w:rsidRDefault="001A5439" w:rsidP="001A5439">
      <w:pPr>
        <w:numPr>
          <w:ilvl w:val="0"/>
          <w:numId w:val="3"/>
        </w:numPr>
        <w:shd w:val="clear" w:color="auto" w:fill="FFFFFF"/>
        <w:spacing w:before="100" w:beforeAutospacing="1" w:after="24" w:line="240" w:lineRule="auto"/>
        <w:ind w:left="384"/>
        <w:rPr>
          <w:rFonts w:ascii="Arial" w:eastAsia="Times New Roman" w:hAnsi="Arial" w:cs="Arial"/>
          <w:color w:val="000000" w:themeColor="text1"/>
          <w:szCs w:val="14"/>
        </w:rPr>
      </w:pPr>
      <w:hyperlink r:id="rId65" w:tooltip="Chase Bank" w:history="1">
        <w:r w:rsidRPr="001A5439">
          <w:rPr>
            <w:rFonts w:ascii="Arial" w:eastAsia="Times New Roman" w:hAnsi="Arial" w:cs="Arial"/>
            <w:color w:val="000000" w:themeColor="text1"/>
          </w:rPr>
          <w:t>J P Morgan Chase Bank</w:t>
        </w:r>
      </w:hyperlink>
      <w:r w:rsidRPr="001A5439">
        <w:rPr>
          <w:rFonts w:ascii="Arial" w:eastAsia="Times New Roman" w:hAnsi="Arial" w:cs="Arial"/>
          <w:color w:val="000000" w:themeColor="text1"/>
          <w:szCs w:val="14"/>
        </w:rPr>
        <w:t>,</w:t>
      </w:r>
    </w:p>
    <w:p w:rsidR="001A5439" w:rsidRPr="001A5439" w:rsidRDefault="001A5439" w:rsidP="001A5439">
      <w:pPr>
        <w:numPr>
          <w:ilvl w:val="0"/>
          <w:numId w:val="3"/>
        </w:numPr>
        <w:shd w:val="clear" w:color="auto" w:fill="FFFFFF"/>
        <w:spacing w:before="100" w:beforeAutospacing="1" w:after="24" w:line="240" w:lineRule="auto"/>
        <w:ind w:left="384"/>
        <w:rPr>
          <w:rFonts w:ascii="Arial" w:eastAsia="Times New Roman" w:hAnsi="Arial" w:cs="Arial"/>
          <w:color w:val="000000" w:themeColor="text1"/>
          <w:szCs w:val="14"/>
        </w:rPr>
      </w:pPr>
      <w:hyperlink r:id="rId66" w:tooltip="J.P. Morgan &amp; Co." w:history="1">
        <w:r w:rsidRPr="001A5439">
          <w:rPr>
            <w:rFonts w:ascii="Arial" w:eastAsia="Times New Roman" w:hAnsi="Arial" w:cs="Arial"/>
            <w:color w:val="000000" w:themeColor="text1"/>
          </w:rPr>
          <w:t>J.P. Morgan &amp; Co.</w:t>
        </w:r>
      </w:hyperlink>
      <w:r w:rsidRPr="001A5439">
        <w:rPr>
          <w:rFonts w:ascii="Arial" w:eastAsia="Times New Roman" w:hAnsi="Arial" w:cs="Arial"/>
          <w:color w:val="000000" w:themeColor="text1"/>
          <w:szCs w:val="14"/>
        </w:rPr>
        <w:t>,</w:t>
      </w:r>
    </w:p>
    <w:p w:rsidR="001A5439" w:rsidRPr="001A5439" w:rsidRDefault="001A5439" w:rsidP="001A5439">
      <w:pPr>
        <w:numPr>
          <w:ilvl w:val="0"/>
          <w:numId w:val="3"/>
        </w:numPr>
        <w:shd w:val="clear" w:color="auto" w:fill="FFFFFF"/>
        <w:spacing w:before="100" w:beforeAutospacing="1" w:after="24" w:line="240" w:lineRule="auto"/>
        <w:ind w:left="384"/>
        <w:rPr>
          <w:rFonts w:ascii="Arial" w:eastAsia="Times New Roman" w:hAnsi="Arial" w:cs="Arial"/>
          <w:color w:val="000000" w:themeColor="text1"/>
          <w:szCs w:val="14"/>
        </w:rPr>
      </w:pPr>
      <w:hyperlink r:id="rId67" w:tooltip="Custodial Trust Company (page does not exist)" w:history="1">
        <w:r w:rsidRPr="001A5439">
          <w:rPr>
            <w:rFonts w:ascii="Arial" w:eastAsia="Times New Roman" w:hAnsi="Arial" w:cs="Arial"/>
            <w:color w:val="000000" w:themeColor="text1"/>
          </w:rPr>
          <w:t>Custodial Trust Company</w:t>
        </w:r>
      </w:hyperlink>
      <w:r w:rsidRPr="001A5439">
        <w:rPr>
          <w:rFonts w:ascii="Arial" w:eastAsia="Times New Roman" w:hAnsi="Arial" w:cs="Arial"/>
          <w:color w:val="000000" w:themeColor="text1"/>
          <w:szCs w:val="14"/>
        </w:rPr>
        <w:t>,</w:t>
      </w:r>
    </w:p>
    <w:p w:rsidR="001A5439" w:rsidRPr="001A5439" w:rsidRDefault="001A5439" w:rsidP="001A5439">
      <w:pPr>
        <w:numPr>
          <w:ilvl w:val="0"/>
          <w:numId w:val="3"/>
        </w:numPr>
        <w:shd w:val="clear" w:color="auto" w:fill="FFFFFF"/>
        <w:spacing w:before="100" w:beforeAutospacing="1" w:after="24" w:line="240" w:lineRule="auto"/>
        <w:ind w:left="384"/>
        <w:rPr>
          <w:rFonts w:ascii="Arial" w:eastAsia="Times New Roman" w:hAnsi="Arial" w:cs="Arial"/>
          <w:color w:val="000000" w:themeColor="text1"/>
          <w:szCs w:val="14"/>
        </w:rPr>
      </w:pPr>
      <w:hyperlink r:id="rId68" w:tooltip="J P Morgan Chase Bank, Dearborn (page does not exist)" w:history="1">
        <w:r w:rsidRPr="001A5439">
          <w:rPr>
            <w:rFonts w:ascii="Arial" w:eastAsia="Times New Roman" w:hAnsi="Arial" w:cs="Arial"/>
            <w:color w:val="000000" w:themeColor="text1"/>
          </w:rPr>
          <w:t>J P Morgan Chase Bank, Dearborn</w:t>
        </w:r>
      </w:hyperlink>
      <w:r w:rsidRPr="001A5439">
        <w:rPr>
          <w:rFonts w:ascii="Arial" w:eastAsia="Times New Roman" w:hAnsi="Arial" w:cs="Arial"/>
          <w:color w:val="000000" w:themeColor="text1"/>
          <w:szCs w:val="14"/>
        </w:rPr>
        <w:t> and</w:t>
      </w:r>
    </w:p>
    <w:p w:rsidR="001A5439" w:rsidRDefault="001A5439" w:rsidP="001A5439">
      <w:pPr>
        <w:numPr>
          <w:ilvl w:val="0"/>
          <w:numId w:val="3"/>
        </w:numPr>
        <w:shd w:val="clear" w:color="auto" w:fill="FFFFFF"/>
        <w:spacing w:before="100" w:beforeAutospacing="1" w:after="24" w:line="240" w:lineRule="auto"/>
        <w:ind w:left="384"/>
        <w:rPr>
          <w:rFonts w:ascii="Arial" w:eastAsia="Times New Roman" w:hAnsi="Arial" w:cs="Arial"/>
          <w:color w:val="000000" w:themeColor="text1"/>
          <w:sz w:val="14"/>
          <w:szCs w:val="14"/>
        </w:rPr>
      </w:pPr>
      <w:hyperlink r:id="rId69" w:tooltip="J P Morgan Bank and Trust Company (page does not exist)" w:history="1">
        <w:r w:rsidRPr="001A5439">
          <w:rPr>
            <w:rFonts w:ascii="Arial" w:eastAsia="Times New Roman" w:hAnsi="Arial" w:cs="Arial"/>
            <w:color w:val="000000" w:themeColor="text1"/>
            <w:u w:val="single"/>
          </w:rPr>
          <w:t>J P Morgan Bank and Trust Company</w:t>
        </w:r>
      </w:hyperlink>
      <w:r w:rsidRPr="001A5439">
        <w:rPr>
          <w:rFonts w:ascii="Arial" w:eastAsia="Times New Roman" w:hAnsi="Arial" w:cs="Arial"/>
          <w:color w:val="000000" w:themeColor="text1"/>
          <w:sz w:val="14"/>
          <w:szCs w:val="14"/>
        </w:rPr>
        <w:t>.</w:t>
      </w:r>
    </w:p>
    <w:p w:rsidR="001A5439" w:rsidRPr="001A5439" w:rsidRDefault="001A5439" w:rsidP="001A5439">
      <w:pPr>
        <w:shd w:val="clear" w:color="auto" w:fill="FFFFFF"/>
        <w:spacing w:before="100" w:beforeAutospacing="1" w:after="24" w:line="240" w:lineRule="auto"/>
        <w:ind w:left="384"/>
        <w:rPr>
          <w:rFonts w:ascii="Arial" w:eastAsia="Times New Roman" w:hAnsi="Arial" w:cs="Arial"/>
          <w:color w:val="000000" w:themeColor="text1"/>
          <w:sz w:val="14"/>
          <w:szCs w:val="14"/>
        </w:rPr>
      </w:pPr>
    </w:p>
    <w:p w:rsidR="001A5439" w:rsidRDefault="001A5439">
      <w:pPr>
        <w:rPr>
          <w:rFonts w:ascii="Arial" w:hAnsi="Arial" w:cs="Arial"/>
          <w:b/>
          <w:color w:val="202122"/>
          <w:sz w:val="20"/>
          <w:szCs w:val="14"/>
          <w:shd w:val="clear" w:color="auto" w:fill="FFFFFF"/>
        </w:rPr>
      </w:pPr>
      <w:r>
        <w:rPr>
          <w:rFonts w:ascii="Arial" w:hAnsi="Arial" w:cs="Arial"/>
          <w:color w:val="202122"/>
          <w:sz w:val="14"/>
          <w:szCs w:val="14"/>
          <w:shd w:val="clear" w:color="auto" w:fill="FFFFFF"/>
        </w:rPr>
        <w:t>:</w:t>
      </w:r>
      <w:r w:rsidRPr="001A5439">
        <w:rPr>
          <w:rFonts w:ascii="Arial" w:hAnsi="Arial" w:cs="Arial"/>
          <w:color w:val="202122"/>
          <w:sz w:val="14"/>
          <w:szCs w:val="14"/>
          <w:shd w:val="clear" w:color="auto" w:fill="FFFFFF"/>
        </w:rPr>
        <w:t xml:space="preserve"> </w:t>
      </w:r>
      <w:r w:rsidRPr="001A5439">
        <w:rPr>
          <w:rFonts w:ascii="Arial" w:hAnsi="Arial" w:cs="Arial"/>
          <w:b/>
          <w:color w:val="202122"/>
          <w:sz w:val="20"/>
          <w:szCs w:val="14"/>
          <w:shd w:val="clear" w:color="auto" w:fill="FFFFFF"/>
        </w:rPr>
        <w:t>For management reporting purposes, J P Morgan Chase's activities are organized into a corporate/ private equity segment and 4 business segments</w:t>
      </w:r>
      <w:r>
        <w:rPr>
          <w:rFonts w:ascii="Arial" w:hAnsi="Arial" w:cs="Arial"/>
          <w:b/>
          <w:color w:val="202122"/>
          <w:sz w:val="20"/>
          <w:szCs w:val="14"/>
          <w:shd w:val="clear" w:color="auto" w:fill="FFFFFF"/>
        </w:rPr>
        <w:t>;</w:t>
      </w:r>
    </w:p>
    <w:p w:rsidR="001A5439" w:rsidRPr="001A5439" w:rsidRDefault="001A5439" w:rsidP="001A5439">
      <w:pPr>
        <w:numPr>
          <w:ilvl w:val="0"/>
          <w:numId w:val="4"/>
        </w:numPr>
        <w:shd w:val="clear" w:color="auto" w:fill="FFFFFF"/>
        <w:spacing w:before="100" w:beforeAutospacing="1" w:after="24" w:line="240" w:lineRule="auto"/>
        <w:ind w:left="384"/>
        <w:rPr>
          <w:rFonts w:ascii="Arial" w:eastAsia="Times New Roman" w:hAnsi="Arial" w:cs="Arial"/>
          <w:color w:val="202122"/>
          <w:sz w:val="20"/>
          <w:szCs w:val="14"/>
        </w:rPr>
      </w:pPr>
      <w:r w:rsidRPr="001A5439">
        <w:rPr>
          <w:rFonts w:ascii="Arial" w:eastAsia="Times New Roman" w:hAnsi="Arial" w:cs="Arial"/>
          <w:color w:val="202122"/>
          <w:sz w:val="20"/>
          <w:szCs w:val="14"/>
        </w:rPr>
        <w:t>Consumer and community banking,</w:t>
      </w:r>
    </w:p>
    <w:p w:rsidR="001A5439" w:rsidRPr="001A5439" w:rsidRDefault="001A5439" w:rsidP="001A5439">
      <w:pPr>
        <w:numPr>
          <w:ilvl w:val="0"/>
          <w:numId w:val="4"/>
        </w:numPr>
        <w:shd w:val="clear" w:color="auto" w:fill="FFFFFF"/>
        <w:spacing w:before="100" w:beforeAutospacing="1" w:after="24" w:line="240" w:lineRule="auto"/>
        <w:ind w:left="384"/>
        <w:rPr>
          <w:rFonts w:ascii="Arial" w:eastAsia="Times New Roman" w:hAnsi="Arial" w:cs="Arial"/>
          <w:color w:val="202122"/>
          <w:sz w:val="20"/>
          <w:szCs w:val="14"/>
        </w:rPr>
      </w:pPr>
      <w:r w:rsidRPr="001A5439">
        <w:rPr>
          <w:rFonts w:ascii="Arial" w:eastAsia="Times New Roman" w:hAnsi="Arial" w:cs="Arial"/>
          <w:color w:val="202122"/>
          <w:sz w:val="20"/>
          <w:szCs w:val="14"/>
        </w:rPr>
        <w:t>Corporate and investment banking,</w:t>
      </w:r>
    </w:p>
    <w:p w:rsidR="001A5439" w:rsidRPr="001A5439" w:rsidRDefault="001A5439" w:rsidP="001A5439">
      <w:pPr>
        <w:numPr>
          <w:ilvl w:val="0"/>
          <w:numId w:val="4"/>
        </w:numPr>
        <w:shd w:val="clear" w:color="auto" w:fill="FFFFFF"/>
        <w:spacing w:before="100" w:beforeAutospacing="1" w:after="24" w:line="240" w:lineRule="auto"/>
        <w:ind w:left="384"/>
        <w:rPr>
          <w:rFonts w:ascii="Arial" w:eastAsia="Times New Roman" w:hAnsi="Arial" w:cs="Arial"/>
          <w:color w:val="202122"/>
          <w:sz w:val="20"/>
          <w:szCs w:val="14"/>
        </w:rPr>
      </w:pPr>
      <w:r w:rsidRPr="001A5439">
        <w:rPr>
          <w:rFonts w:ascii="Arial" w:eastAsia="Times New Roman" w:hAnsi="Arial" w:cs="Arial"/>
          <w:color w:val="202122"/>
          <w:sz w:val="20"/>
          <w:szCs w:val="14"/>
        </w:rPr>
        <w:t>Commercial banking and</w:t>
      </w:r>
    </w:p>
    <w:p w:rsidR="001A5439" w:rsidRDefault="001A5439" w:rsidP="001A5439">
      <w:pPr>
        <w:numPr>
          <w:ilvl w:val="0"/>
          <w:numId w:val="4"/>
        </w:numPr>
        <w:shd w:val="clear" w:color="auto" w:fill="FFFFFF"/>
        <w:spacing w:before="100" w:beforeAutospacing="1" w:after="24" w:line="240" w:lineRule="auto"/>
        <w:ind w:left="384"/>
        <w:rPr>
          <w:rFonts w:ascii="Arial" w:eastAsia="Times New Roman" w:hAnsi="Arial" w:cs="Arial"/>
          <w:color w:val="202122"/>
          <w:sz w:val="20"/>
          <w:szCs w:val="14"/>
        </w:rPr>
      </w:pPr>
      <w:r w:rsidRPr="001A5439">
        <w:rPr>
          <w:rFonts w:ascii="Arial" w:eastAsia="Times New Roman" w:hAnsi="Arial" w:cs="Arial"/>
          <w:color w:val="202122"/>
          <w:sz w:val="20"/>
          <w:szCs w:val="14"/>
        </w:rPr>
        <w:t>Asset management.</w:t>
      </w:r>
    </w:p>
    <w:p w:rsidR="001A5439" w:rsidRPr="001A5439" w:rsidRDefault="001A5439" w:rsidP="001A5439">
      <w:pPr>
        <w:shd w:val="clear" w:color="auto" w:fill="FFFFFF"/>
        <w:spacing w:before="100" w:beforeAutospacing="1" w:after="24" w:line="240" w:lineRule="auto"/>
        <w:ind w:left="384"/>
        <w:rPr>
          <w:rFonts w:ascii="Arial" w:eastAsia="Times New Roman" w:hAnsi="Arial" w:cs="Arial"/>
          <w:color w:val="202122"/>
          <w:sz w:val="20"/>
          <w:szCs w:val="14"/>
        </w:rPr>
      </w:pPr>
    </w:p>
    <w:p w:rsidR="001A5439" w:rsidRPr="001A5439" w:rsidRDefault="001A5439" w:rsidP="001A5439">
      <w:pPr>
        <w:pStyle w:val="Heading2"/>
        <w:pBdr>
          <w:bottom w:val="single" w:sz="4" w:space="0" w:color="A2A9B1"/>
        </w:pBdr>
        <w:shd w:val="clear" w:color="auto" w:fill="FFFFFF"/>
        <w:spacing w:before="240" w:beforeAutospacing="0" w:after="60" w:afterAutospacing="0"/>
        <w:rPr>
          <w:rFonts w:ascii="Georgia" w:hAnsi="Georgia"/>
          <w:bCs w:val="0"/>
          <w:color w:val="000000"/>
        </w:rPr>
      </w:pPr>
      <w:proofErr w:type="gramStart"/>
      <w:r w:rsidRPr="001A5439">
        <w:rPr>
          <w:rStyle w:val="mw-headline"/>
          <w:rFonts w:ascii="Georgia" w:hAnsi="Georgia"/>
          <w:bCs w:val="0"/>
          <w:color w:val="000000"/>
        </w:rPr>
        <w:t>Divisions</w:t>
      </w:r>
      <w:r w:rsidRPr="001A5439">
        <w:rPr>
          <w:rFonts w:ascii="Arial" w:hAnsi="Arial" w:cs="Arial"/>
          <w:color w:val="202122"/>
          <w:sz w:val="14"/>
          <w:szCs w:val="14"/>
        </w:rPr>
        <w:t>.</w:t>
      </w:r>
      <w:proofErr w:type="gramEnd"/>
    </w:p>
    <w:p w:rsidR="001A5439" w:rsidRDefault="001A5439">
      <w:pPr>
        <w:rPr>
          <w:color w:val="000000" w:themeColor="text1"/>
          <w:sz w:val="36"/>
        </w:rPr>
      </w:pPr>
    </w:p>
    <w:p w:rsidR="001A5439" w:rsidRDefault="001A5439">
      <w:pPr>
        <w:rPr>
          <w:color w:val="000000" w:themeColor="text1"/>
          <w:sz w:val="36"/>
        </w:rPr>
      </w:pPr>
      <w:r w:rsidRPr="001A5439">
        <w:rPr>
          <w:color w:val="000000" w:themeColor="text1"/>
          <w:sz w:val="36"/>
        </w:rPr>
        <w:t>JPMorgan's business is divided into four major segments: Consumer and community banking, corporate and investment banking, commercial banking, and asset management are all areas of expertise.</w:t>
      </w:r>
    </w:p>
    <w:p w:rsidR="001A5439" w:rsidRPr="001A5439" w:rsidRDefault="001A5439" w:rsidP="001A5439">
      <w:pPr>
        <w:pStyle w:val="Heading2"/>
        <w:pBdr>
          <w:bottom w:val="single" w:sz="4" w:space="0" w:color="A2A9B1"/>
        </w:pBdr>
        <w:shd w:val="clear" w:color="auto" w:fill="FFFFFF"/>
        <w:spacing w:before="240" w:beforeAutospacing="0" w:after="60" w:afterAutospacing="0"/>
        <w:rPr>
          <w:rFonts w:ascii="Georgia" w:hAnsi="Georgia"/>
          <w:bCs w:val="0"/>
          <w:color w:val="000000"/>
        </w:rPr>
      </w:pPr>
      <w:r w:rsidRPr="001A5439">
        <w:rPr>
          <w:rStyle w:val="mw-headline"/>
          <w:rFonts w:ascii="Georgia" w:hAnsi="Georgia"/>
          <w:bCs w:val="0"/>
          <w:color w:val="000000"/>
        </w:rPr>
        <w:t>Operations</w:t>
      </w:r>
    </w:p>
    <w:p w:rsidR="001A5439" w:rsidRDefault="001A5439">
      <w:pPr>
        <w:rPr>
          <w:color w:val="000000" w:themeColor="text1"/>
          <w:sz w:val="32"/>
        </w:rPr>
      </w:pPr>
    </w:p>
    <w:p w:rsidR="001A5439" w:rsidRDefault="001A5439">
      <w:pPr>
        <w:rPr>
          <w:color w:val="000000" w:themeColor="text1"/>
          <w:sz w:val="32"/>
        </w:rPr>
      </w:pPr>
      <w:r w:rsidRPr="001A5439">
        <w:rPr>
          <w:color w:val="000000" w:themeColor="text1"/>
          <w:sz w:val="32"/>
        </w:rPr>
        <w:t>Earlier in 2011, the company announced that through the use of supercomputers, the time required to assess risk had been greatly reduced, from hours to minutes. For this calculation, the banking corporation employs Field-Programmable Gate Array technology.</w:t>
      </w:r>
    </w:p>
    <w:p w:rsidR="001A5439" w:rsidRDefault="001A5439">
      <w:pPr>
        <w:rPr>
          <w:color w:val="000000" w:themeColor="text1"/>
          <w:sz w:val="32"/>
        </w:rPr>
      </w:pPr>
    </w:p>
    <w:p w:rsidR="005652BF" w:rsidRDefault="005652BF">
      <w:pPr>
        <w:rPr>
          <w:b/>
          <w:color w:val="000000" w:themeColor="text1"/>
          <w:sz w:val="44"/>
        </w:rPr>
      </w:pPr>
      <w:r>
        <w:rPr>
          <w:b/>
          <w:color w:val="000000" w:themeColor="text1"/>
          <w:sz w:val="44"/>
        </w:rPr>
        <w:lastRenderedPageBreak/>
        <w:t xml:space="preserve">                                   </w:t>
      </w:r>
      <w:r w:rsidRPr="005652BF">
        <w:rPr>
          <w:b/>
          <w:color w:val="000000" w:themeColor="text1"/>
          <w:sz w:val="44"/>
        </w:rPr>
        <w:t>Lobbying</w:t>
      </w:r>
    </w:p>
    <w:p w:rsidR="005652BF" w:rsidRDefault="005652BF">
      <w:pPr>
        <w:rPr>
          <w:b/>
          <w:color w:val="000000" w:themeColor="text1"/>
          <w:sz w:val="44"/>
        </w:rPr>
      </w:pPr>
    </w:p>
    <w:p w:rsidR="005652BF" w:rsidRDefault="005652BF">
      <w:pPr>
        <w:rPr>
          <w:color w:val="000000" w:themeColor="text1"/>
          <w:sz w:val="28"/>
        </w:rPr>
      </w:pPr>
      <w:r w:rsidRPr="005652BF">
        <w:rPr>
          <w:color w:val="000000" w:themeColor="text1"/>
          <w:sz w:val="28"/>
        </w:rPr>
        <w:t xml:space="preserve">In the first three quarters of 2014, JP Morgan Chase's PAC and employees gave $2.6 million to federal races and $4.7 million to its lobbying team. JP Morgan's funding has primarily benefited Republicans, with 62 percent of its 2014 donations going to GOP causes. Despite this, 78 House Democrats received $5,200 in campaign contributions from JPMorgan's PAC in the 2014 cycle, and a total of 38 Democrats who voted for the 2015 budget bill received money from JPMorgan's PAC in 2014. In 2014, JP Morgan Chase's political action committee gave the most to the Democratic Congressional Campaign Committee and the leadership PACs of </w:t>
      </w:r>
      <w:proofErr w:type="spellStart"/>
      <w:r w:rsidRPr="005652BF">
        <w:rPr>
          <w:color w:val="000000" w:themeColor="text1"/>
          <w:sz w:val="28"/>
        </w:rPr>
        <w:t>Steny</w:t>
      </w:r>
      <w:proofErr w:type="spellEnd"/>
      <w:r w:rsidRPr="005652BF">
        <w:rPr>
          <w:color w:val="000000" w:themeColor="text1"/>
          <w:sz w:val="28"/>
        </w:rPr>
        <w:t xml:space="preserve"> Hoyer and Jim Himes.</w:t>
      </w:r>
    </w:p>
    <w:p w:rsidR="005652BF" w:rsidRDefault="005652BF">
      <w:pPr>
        <w:rPr>
          <w:color w:val="000000" w:themeColor="text1"/>
          <w:sz w:val="28"/>
        </w:rPr>
      </w:pPr>
    </w:p>
    <w:p w:rsidR="005652BF" w:rsidRDefault="005652BF">
      <w:pPr>
        <w:rPr>
          <w:color w:val="000000" w:themeColor="text1"/>
          <w:sz w:val="28"/>
        </w:rPr>
      </w:pPr>
    </w:p>
    <w:p w:rsidR="005652BF" w:rsidRDefault="005652BF">
      <w:pPr>
        <w:rPr>
          <w:color w:val="000000" w:themeColor="text1"/>
          <w:sz w:val="28"/>
        </w:rPr>
      </w:pPr>
    </w:p>
    <w:p w:rsidR="005652BF" w:rsidRDefault="005652BF">
      <w:pPr>
        <w:rPr>
          <w:color w:val="000000" w:themeColor="text1"/>
          <w:sz w:val="28"/>
        </w:rPr>
      </w:pPr>
    </w:p>
    <w:p w:rsidR="005652BF" w:rsidRDefault="005652BF">
      <w:pPr>
        <w:rPr>
          <w:color w:val="000000" w:themeColor="text1"/>
          <w:sz w:val="28"/>
        </w:rPr>
      </w:pPr>
    </w:p>
    <w:p w:rsidR="005652BF" w:rsidRDefault="005652BF">
      <w:pPr>
        <w:rPr>
          <w:color w:val="000000" w:themeColor="text1"/>
          <w:sz w:val="28"/>
        </w:rPr>
      </w:pPr>
    </w:p>
    <w:p w:rsidR="005652BF" w:rsidRDefault="005652BF">
      <w:pPr>
        <w:rPr>
          <w:color w:val="000000" w:themeColor="text1"/>
          <w:sz w:val="28"/>
        </w:rPr>
      </w:pPr>
    </w:p>
    <w:p w:rsidR="005652BF" w:rsidRDefault="005652BF">
      <w:pPr>
        <w:rPr>
          <w:color w:val="000000" w:themeColor="text1"/>
          <w:sz w:val="28"/>
        </w:rPr>
      </w:pPr>
    </w:p>
    <w:p w:rsidR="005652BF" w:rsidRDefault="005652BF">
      <w:pPr>
        <w:rPr>
          <w:color w:val="000000" w:themeColor="text1"/>
          <w:sz w:val="28"/>
        </w:rPr>
      </w:pPr>
    </w:p>
    <w:p w:rsidR="005652BF" w:rsidRDefault="005652BF">
      <w:pPr>
        <w:rPr>
          <w:color w:val="000000" w:themeColor="text1"/>
          <w:sz w:val="28"/>
        </w:rPr>
      </w:pPr>
    </w:p>
    <w:p w:rsidR="005652BF" w:rsidRDefault="005652BF">
      <w:pPr>
        <w:rPr>
          <w:color w:val="000000" w:themeColor="text1"/>
          <w:sz w:val="28"/>
        </w:rPr>
      </w:pPr>
    </w:p>
    <w:p w:rsidR="005652BF" w:rsidRDefault="005652BF">
      <w:pPr>
        <w:rPr>
          <w:color w:val="000000" w:themeColor="text1"/>
          <w:sz w:val="28"/>
        </w:rPr>
      </w:pPr>
    </w:p>
    <w:p w:rsidR="005652BF" w:rsidRDefault="005652BF">
      <w:pPr>
        <w:rPr>
          <w:color w:val="000000" w:themeColor="text1"/>
          <w:sz w:val="28"/>
        </w:rPr>
      </w:pPr>
    </w:p>
    <w:p w:rsidR="005652BF" w:rsidRDefault="005652BF">
      <w:pPr>
        <w:rPr>
          <w:b/>
          <w:color w:val="000000" w:themeColor="text1"/>
          <w:sz w:val="44"/>
        </w:rPr>
      </w:pPr>
      <w:r>
        <w:rPr>
          <w:b/>
          <w:color w:val="000000" w:themeColor="text1"/>
          <w:sz w:val="44"/>
        </w:rPr>
        <w:lastRenderedPageBreak/>
        <w:t xml:space="preserve">                                       </w:t>
      </w:r>
      <w:r w:rsidRPr="005652BF">
        <w:rPr>
          <w:b/>
          <w:color w:val="000000" w:themeColor="text1"/>
          <w:sz w:val="44"/>
        </w:rPr>
        <w:t>Offices</w:t>
      </w:r>
    </w:p>
    <w:p w:rsidR="005652BF" w:rsidRPr="005652BF" w:rsidRDefault="005652BF">
      <w:pPr>
        <w:rPr>
          <w:color w:val="000000" w:themeColor="text1"/>
          <w:sz w:val="28"/>
        </w:rPr>
      </w:pPr>
      <w:r w:rsidRPr="005652BF">
        <w:rPr>
          <w:color w:val="000000" w:themeColor="text1"/>
          <w:sz w:val="28"/>
        </w:rPr>
        <w:t xml:space="preserve">Despite the fact that the original Chase Manhattan Bank's headquarters were at One Chase Manhattan Plaza (now known as 28 Liberty Street) in downtown Manhattan, JPMorgan Chase &amp; Co.'s current temporary world headquarters are at 383 Madison Avenue. JPMorgan Chase stated in 2018 that they would demolish the current headquarters building at 270 Park Avenue, which used to be Union Carbide's headquarters, to make room for a replacement building that would be 717 feet (219 </w:t>
      </w:r>
      <w:proofErr w:type="spellStart"/>
      <w:r w:rsidRPr="005652BF">
        <w:rPr>
          <w:color w:val="000000" w:themeColor="text1"/>
          <w:sz w:val="28"/>
        </w:rPr>
        <w:t>metres</w:t>
      </w:r>
      <w:proofErr w:type="spellEnd"/>
      <w:r w:rsidRPr="005652BF">
        <w:rPr>
          <w:color w:val="000000" w:themeColor="text1"/>
          <w:sz w:val="28"/>
        </w:rPr>
        <w:t>) taller than the existing structure. The demolition of the old building was completed in the spring of 2021, and the construction of the new structure will begin in 2025. The new 1,425-foot, 102-story headquarters will be able to accommodate 15,000 people, whereas the existing structure can only accommodate 6,000 employees in a 3,500-square-foot space.</w:t>
      </w:r>
    </w:p>
    <w:p w:rsidR="005652BF" w:rsidRDefault="005652BF">
      <w:pPr>
        <w:rPr>
          <w:color w:val="000000" w:themeColor="text1"/>
          <w:sz w:val="28"/>
        </w:rPr>
      </w:pPr>
      <w:r w:rsidRPr="005652BF">
        <w:rPr>
          <w:color w:val="000000" w:themeColor="text1"/>
          <w:sz w:val="28"/>
        </w:rPr>
        <w:t xml:space="preserve">The historic Union Carbide Building at 270 Park Avenue, the core of sales and trading operations (which was demolished and is being replaced), and the original Chemical Bank building at 277 Park Avenue, where most investment banking activity takes place, house the majority of North American operations. 245 Park Avenue and 345 Park Avenue house asset and wealth management firms. Other </w:t>
      </w:r>
      <w:proofErr w:type="spellStart"/>
      <w:r w:rsidRPr="005652BF">
        <w:rPr>
          <w:color w:val="000000" w:themeColor="text1"/>
          <w:sz w:val="28"/>
        </w:rPr>
        <w:t>organisations</w:t>
      </w:r>
      <w:proofErr w:type="spellEnd"/>
      <w:r w:rsidRPr="005652BF">
        <w:rPr>
          <w:color w:val="000000" w:themeColor="text1"/>
          <w:sz w:val="28"/>
        </w:rPr>
        <w:t xml:space="preserve"> are housed at 383 Madison Avenue, in the former Bear Stearns building.</w:t>
      </w:r>
    </w:p>
    <w:p w:rsidR="005652BF" w:rsidRPr="005652BF" w:rsidRDefault="005652BF" w:rsidP="005652BF">
      <w:pPr>
        <w:pStyle w:val="NormalWeb"/>
        <w:shd w:val="clear" w:color="auto" w:fill="FFFFFF"/>
        <w:spacing w:before="120" w:beforeAutospacing="0" w:after="120" w:afterAutospacing="0"/>
        <w:rPr>
          <w:rFonts w:ascii="Arial" w:hAnsi="Arial" w:cs="Arial"/>
          <w:color w:val="202122"/>
          <w:sz w:val="20"/>
          <w:szCs w:val="14"/>
        </w:rPr>
      </w:pPr>
      <w:hyperlink r:id="rId70" w:tooltip="Chase bank" w:history="1">
        <w:r w:rsidRPr="005652BF">
          <w:rPr>
            <w:rStyle w:val="Hyperlink"/>
            <w:rFonts w:ascii="Arial" w:hAnsi="Arial" w:cs="Arial"/>
            <w:color w:val="0645AD"/>
            <w:sz w:val="20"/>
            <w:szCs w:val="14"/>
          </w:rPr>
          <w:t>Chase</w:t>
        </w:r>
      </w:hyperlink>
      <w:r w:rsidRPr="005652BF">
        <w:rPr>
          <w:rFonts w:ascii="Arial" w:hAnsi="Arial" w:cs="Arial"/>
          <w:color w:val="202122"/>
          <w:sz w:val="20"/>
          <w:szCs w:val="14"/>
        </w:rPr>
        <w:t>, the U.S. and </w:t>
      </w:r>
      <w:hyperlink r:id="rId71" w:tooltip="Canada" w:history="1">
        <w:r w:rsidRPr="005652BF">
          <w:rPr>
            <w:rStyle w:val="Hyperlink"/>
            <w:rFonts w:ascii="Arial" w:hAnsi="Arial" w:cs="Arial"/>
            <w:color w:val="0645AD"/>
            <w:sz w:val="20"/>
            <w:szCs w:val="14"/>
          </w:rPr>
          <w:t>Canada</w:t>
        </w:r>
      </w:hyperlink>
      <w:r w:rsidRPr="005652BF">
        <w:rPr>
          <w:rFonts w:ascii="Arial" w:hAnsi="Arial" w:cs="Arial"/>
          <w:color w:val="202122"/>
          <w:sz w:val="20"/>
          <w:szCs w:val="14"/>
        </w:rPr>
        <w:t>, retail, commercial, and credit card bank is headquartered in </w:t>
      </w:r>
      <w:hyperlink r:id="rId72" w:tooltip="Chicago" w:history="1">
        <w:r w:rsidRPr="005652BF">
          <w:rPr>
            <w:rStyle w:val="Hyperlink"/>
            <w:rFonts w:ascii="Arial" w:hAnsi="Arial" w:cs="Arial"/>
            <w:color w:val="0645AD"/>
            <w:sz w:val="20"/>
            <w:szCs w:val="14"/>
          </w:rPr>
          <w:t>Chicago</w:t>
        </w:r>
      </w:hyperlink>
      <w:r w:rsidRPr="005652BF">
        <w:rPr>
          <w:rFonts w:ascii="Arial" w:hAnsi="Arial" w:cs="Arial"/>
          <w:color w:val="202122"/>
          <w:sz w:val="20"/>
          <w:szCs w:val="14"/>
        </w:rPr>
        <w:t> at the </w:t>
      </w:r>
      <w:hyperlink r:id="rId73" w:tooltip="Chase Tower (Chicago)" w:history="1">
        <w:r w:rsidRPr="005652BF">
          <w:rPr>
            <w:rStyle w:val="Hyperlink"/>
            <w:rFonts w:ascii="Arial" w:hAnsi="Arial" w:cs="Arial"/>
            <w:color w:val="0645AD"/>
            <w:sz w:val="20"/>
            <w:szCs w:val="14"/>
          </w:rPr>
          <w:t>Chase Tower</w:t>
        </w:r>
      </w:hyperlink>
      <w:r w:rsidRPr="005652BF">
        <w:rPr>
          <w:rFonts w:ascii="Arial" w:hAnsi="Arial" w:cs="Arial"/>
          <w:color w:val="202122"/>
          <w:sz w:val="20"/>
          <w:szCs w:val="14"/>
        </w:rPr>
        <w:t>, </w:t>
      </w:r>
      <w:hyperlink r:id="rId74" w:tooltip="Chicago" w:history="1">
        <w:r w:rsidRPr="005652BF">
          <w:rPr>
            <w:rStyle w:val="Hyperlink"/>
            <w:rFonts w:ascii="Arial" w:hAnsi="Arial" w:cs="Arial"/>
            <w:color w:val="0645AD"/>
            <w:sz w:val="20"/>
            <w:szCs w:val="14"/>
          </w:rPr>
          <w:t>Chicago</w:t>
        </w:r>
      </w:hyperlink>
      <w:r w:rsidRPr="005652BF">
        <w:rPr>
          <w:rFonts w:ascii="Arial" w:hAnsi="Arial" w:cs="Arial"/>
          <w:color w:val="202122"/>
          <w:sz w:val="20"/>
          <w:szCs w:val="14"/>
        </w:rPr>
        <w:t>, </w:t>
      </w:r>
      <w:hyperlink r:id="rId75" w:tooltip="Illinois" w:history="1">
        <w:r w:rsidRPr="005652BF">
          <w:rPr>
            <w:rStyle w:val="Hyperlink"/>
            <w:rFonts w:ascii="Arial" w:hAnsi="Arial" w:cs="Arial"/>
            <w:color w:val="0645AD"/>
            <w:sz w:val="20"/>
            <w:szCs w:val="14"/>
          </w:rPr>
          <w:t>Illinois</w:t>
        </w:r>
      </w:hyperlink>
      <w:r w:rsidRPr="005652BF">
        <w:rPr>
          <w:rFonts w:ascii="Arial" w:hAnsi="Arial" w:cs="Arial"/>
          <w:color w:val="202122"/>
          <w:sz w:val="20"/>
          <w:szCs w:val="14"/>
        </w:rPr>
        <w:t>.</w:t>
      </w:r>
    </w:p>
    <w:p w:rsidR="005652BF" w:rsidRPr="005652BF" w:rsidRDefault="005652BF" w:rsidP="005652BF">
      <w:pPr>
        <w:pStyle w:val="NormalWeb"/>
        <w:shd w:val="clear" w:color="auto" w:fill="FFFFFF"/>
        <w:spacing w:before="120" w:beforeAutospacing="0" w:after="120" w:afterAutospacing="0"/>
        <w:rPr>
          <w:rFonts w:ascii="Arial" w:hAnsi="Arial" w:cs="Arial"/>
          <w:color w:val="202122"/>
          <w:sz w:val="20"/>
          <w:szCs w:val="14"/>
        </w:rPr>
      </w:pPr>
      <w:r w:rsidRPr="005652BF">
        <w:rPr>
          <w:rFonts w:ascii="Arial" w:hAnsi="Arial" w:cs="Arial"/>
          <w:color w:val="202122"/>
          <w:sz w:val="20"/>
          <w:szCs w:val="14"/>
        </w:rPr>
        <w:t>The Asia Pacific headquarters for JPMorgan is located in </w:t>
      </w:r>
      <w:hyperlink r:id="rId76" w:tooltip="Hong Kong" w:history="1">
        <w:r w:rsidRPr="005652BF">
          <w:rPr>
            <w:rStyle w:val="Hyperlink"/>
            <w:rFonts w:ascii="Arial" w:hAnsi="Arial" w:cs="Arial"/>
            <w:color w:val="0645AD"/>
            <w:sz w:val="20"/>
            <w:szCs w:val="14"/>
          </w:rPr>
          <w:t>Hong Kong</w:t>
        </w:r>
      </w:hyperlink>
      <w:r w:rsidRPr="005652BF">
        <w:rPr>
          <w:rFonts w:ascii="Arial" w:hAnsi="Arial" w:cs="Arial"/>
          <w:color w:val="202122"/>
          <w:sz w:val="20"/>
          <w:szCs w:val="14"/>
        </w:rPr>
        <w:t> at </w:t>
      </w:r>
      <w:proofErr w:type="spellStart"/>
      <w:r w:rsidRPr="005652BF">
        <w:rPr>
          <w:rFonts w:ascii="Arial" w:hAnsi="Arial" w:cs="Arial"/>
          <w:color w:val="202122"/>
          <w:sz w:val="20"/>
          <w:szCs w:val="14"/>
        </w:rPr>
        <w:fldChar w:fldCharType="begin"/>
      </w:r>
      <w:r w:rsidRPr="005652BF">
        <w:rPr>
          <w:rFonts w:ascii="Arial" w:hAnsi="Arial" w:cs="Arial"/>
          <w:color w:val="202122"/>
          <w:sz w:val="20"/>
          <w:szCs w:val="14"/>
        </w:rPr>
        <w:instrText xml:space="preserve"> HYPERLINK "https://en.wikipedia.org/wiki/Chater_House" \o "Chater House" </w:instrText>
      </w:r>
      <w:r w:rsidRPr="005652BF">
        <w:rPr>
          <w:rFonts w:ascii="Arial" w:hAnsi="Arial" w:cs="Arial"/>
          <w:color w:val="202122"/>
          <w:sz w:val="20"/>
          <w:szCs w:val="14"/>
        </w:rPr>
        <w:fldChar w:fldCharType="separate"/>
      </w:r>
      <w:r w:rsidRPr="005652BF">
        <w:rPr>
          <w:rStyle w:val="Hyperlink"/>
          <w:rFonts w:ascii="Arial" w:hAnsi="Arial" w:cs="Arial"/>
          <w:color w:val="0645AD"/>
          <w:sz w:val="20"/>
          <w:szCs w:val="14"/>
        </w:rPr>
        <w:t>Chater</w:t>
      </w:r>
      <w:proofErr w:type="spellEnd"/>
      <w:r w:rsidRPr="005652BF">
        <w:rPr>
          <w:rStyle w:val="Hyperlink"/>
          <w:rFonts w:ascii="Arial" w:hAnsi="Arial" w:cs="Arial"/>
          <w:color w:val="0645AD"/>
          <w:sz w:val="20"/>
          <w:szCs w:val="14"/>
        </w:rPr>
        <w:t xml:space="preserve"> House</w:t>
      </w:r>
      <w:r w:rsidRPr="005652BF">
        <w:rPr>
          <w:rFonts w:ascii="Arial" w:hAnsi="Arial" w:cs="Arial"/>
          <w:color w:val="202122"/>
          <w:sz w:val="20"/>
          <w:szCs w:val="14"/>
        </w:rPr>
        <w:fldChar w:fldCharType="end"/>
      </w:r>
      <w:r w:rsidRPr="005652BF">
        <w:rPr>
          <w:rFonts w:ascii="Arial" w:hAnsi="Arial" w:cs="Arial"/>
          <w:color w:val="202122"/>
          <w:sz w:val="20"/>
          <w:szCs w:val="14"/>
        </w:rPr>
        <w:t>.</w:t>
      </w:r>
    </w:p>
    <w:p w:rsidR="005652BF" w:rsidRPr="005652BF" w:rsidRDefault="005652BF" w:rsidP="005652BF">
      <w:pPr>
        <w:pStyle w:val="NormalWeb"/>
        <w:shd w:val="clear" w:color="auto" w:fill="FFFFFF"/>
        <w:spacing w:before="120" w:beforeAutospacing="0" w:after="120" w:afterAutospacing="0"/>
        <w:rPr>
          <w:rFonts w:ascii="Arial" w:hAnsi="Arial" w:cs="Arial"/>
          <w:color w:val="202122"/>
          <w:sz w:val="20"/>
          <w:szCs w:val="14"/>
        </w:rPr>
      </w:pPr>
      <w:r w:rsidRPr="005652BF">
        <w:rPr>
          <w:rFonts w:ascii="Arial" w:hAnsi="Arial" w:cs="Arial"/>
          <w:color w:val="202122"/>
          <w:sz w:val="20"/>
          <w:szCs w:val="14"/>
        </w:rPr>
        <w:t>Approximately 11,050 employees are located in </w:t>
      </w:r>
      <w:hyperlink r:id="rId77" w:tooltip="Columbus, Ohio" w:history="1">
        <w:r w:rsidRPr="005652BF">
          <w:rPr>
            <w:rStyle w:val="Hyperlink"/>
            <w:rFonts w:ascii="Arial" w:hAnsi="Arial" w:cs="Arial"/>
            <w:color w:val="0645AD"/>
            <w:sz w:val="20"/>
            <w:szCs w:val="14"/>
          </w:rPr>
          <w:t>Columbus</w:t>
        </w:r>
      </w:hyperlink>
      <w:r w:rsidRPr="005652BF">
        <w:rPr>
          <w:rFonts w:ascii="Arial" w:hAnsi="Arial" w:cs="Arial"/>
          <w:color w:val="202122"/>
          <w:sz w:val="20"/>
          <w:szCs w:val="14"/>
        </w:rPr>
        <w:t> at </w:t>
      </w:r>
      <w:hyperlink r:id="rId78" w:tooltip="McCoy Building" w:history="1">
        <w:r w:rsidRPr="005652BF">
          <w:rPr>
            <w:rStyle w:val="Hyperlink"/>
            <w:rFonts w:ascii="Arial" w:hAnsi="Arial" w:cs="Arial"/>
            <w:color w:val="0645AD"/>
            <w:sz w:val="20"/>
            <w:szCs w:val="14"/>
          </w:rPr>
          <w:t>the McCoy Center</w:t>
        </w:r>
      </w:hyperlink>
      <w:r w:rsidRPr="005652BF">
        <w:rPr>
          <w:rFonts w:ascii="Arial" w:hAnsi="Arial" w:cs="Arial"/>
          <w:color w:val="202122"/>
          <w:sz w:val="20"/>
          <w:szCs w:val="14"/>
        </w:rPr>
        <w:t>, the former </w:t>
      </w:r>
      <w:hyperlink r:id="rId79" w:tooltip="Bank One" w:history="1">
        <w:r w:rsidRPr="005652BF">
          <w:rPr>
            <w:rStyle w:val="Hyperlink"/>
            <w:rFonts w:ascii="Arial" w:hAnsi="Arial" w:cs="Arial"/>
            <w:color w:val="0645AD"/>
            <w:sz w:val="20"/>
            <w:szCs w:val="14"/>
          </w:rPr>
          <w:t>Bank One</w:t>
        </w:r>
      </w:hyperlink>
      <w:r w:rsidRPr="005652BF">
        <w:rPr>
          <w:rFonts w:ascii="Arial" w:hAnsi="Arial" w:cs="Arial"/>
          <w:color w:val="202122"/>
          <w:sz w:val="20"/>
          <w:szCs w:val="14"/>
        </w:rPr>
        <w:t> offices. The building is the largest JPMorgan Chase &amp; Co. facility in the world and the second-largest single-tenant office building in the United States behind </w:t>
      </w:r>
      <w:hyperlink r:id="rId80" w:tooltip="The Pentagon" w:history="1">
        <w:r w:rsidRPr="005652BF">
          <w:rPr>
            <w:rStyle w:val="Hyperlink"/>
            <w:rFonts w:ascii="Arial" w:hAnsi="Arial" w:cs="Arial"/>
            <w:color w:val="0645AD"/>
            <w:sz w:val="20"/>
            <w:szCs w:val="14"/>
          </w:rPr>
          <w:t>The Pentagon</w:t>
        </w:r>
      </w:hyperlink>
      <w:r w:rsidRPr="005652BF">
        <w:rPr>
          <w:rFonts w:ascii="Arial" w:hAnsi="Arial" w:cs="Arial"/>
          <w:color w:val="202122"/>
          <w:sz w:val="20"/>
          <w:szCs w:val="14"/>
        </w:rPr>
        <w:t>.</w:t>
      </w:r>
    </w:p>
    <w:p w:rsidR="005652BF" w:rsidRDefault="005652BF" w:rsidP="005652BF">
      <w:pPr>
        <w:pStyle w:val="NormalWeb"/>
        <w:shd w:val="clear" w:color="auto" w:fill="FFFFFF"/>
        <w:spacing w:before="120" w:beforeAutospacing="0" w:after="120" w:afterAutospacing="0"/>
        <w:rPr>
          <w:rFonts w:ascii="Arial" w:hAnsi="Arial" w:cs="Arial"/>
          <w:color w:val="202122"/>
          <w:sz w:val="20"/>
          <w:szCs w:val="14"/>
        </w:rPr>
      </w:pPr>
      <w:r w:rsidRPr="005652BF">
        <w:rPr>
          <w:rFonts w:ascii="Arial" w:hAnsi="Arial" w:cs="Arial"/>
          <w:color w:val="202122"/>
          <w:sz w:val="20"/>
          <w:szCs w:val="14"/>
        </w:rPr>
        <w:t>The bank moved some of its operations to the </w:t>
      </w:r>
      <w:hyperlink r:id="rId81" w:tooltip="JPMorgan Chase Tower (Houston)" w:history="1">
        <w:r w:rsidRPr="005652BF">
          <w:rPr>
            <w:rStyle w:val="Hyperlink"/>
            <w:rFonts w:ascii="Arial" w:hAnsi="Arial" w:cs="Arial"/>
            <w:color w:val="0645AD"/>
            <w:sz w:val="20"/>
            <w:szCs w:val="14"/>
          </w:rPr>
          <w:t>JPMorgan Chase Tower</w:t>
        </w:r>
      </w:hyperlink>
      <w:r w:rsidRPr="005652BF">
        <w:rPr>
          <w:rFonts w:ascii="Arial" w:hAnsi="Arial" w:cs="Arial"/>
          <w:color w:val="202122"/>
          <w:sz w:val="20"/>
          <w:szCs w:val="14"/>
        </w:rPr>
        <w:t> in </w:t>
      </w:r>
      <w:hyperlink r:id="rId82" w:tooltip="Houston" w:history="1">
        <w:r w:rsidRPr="005652BF">
          <w:rPr>
            <w:rStyle w:val="Hyperlink"/>
            <w:rFonts w:ascii="Arial" w:hAnsi="Arial" w:cs="Arial"/>
            <w:color w:val="0645AD"/>
            <w:sz w:val="20"/>
            <w:szCs w:val="14"/>
          </w:rPr>
          <w:t>Houston</w:t>
        </w:r>
      </w:hyperlink>
      <w:r w:rsidRPr="005652BF">
        <w:rPr>
          <w:rFonts w:ascii="Arial" w:hAnsi="Arial" w:cs="Arial"/>
          <w:color w:val="202122"/>
          <w:sz w:val="20"/>
          <w:szCs w:val="14"/>
        </w:rPr>
        <w:t>, when it purchased </w:t>
      </w:r>
      <w:hyperlink r:id="rId83" w:tooltip="" w:history="1">
        <w:r w:rsidRPr="005652BF">
          <w:rPr>
            <w:rStyle w:val="Hyperlink"/>
            <w:rFonts w:ascii="Arial" w:hAnsi="Arial" w:cs="Arial"/>
            <w:color w:val="FAA700"/>
            <w:sz w:val="20"/>
            <w:szCs w:val="14"/>
          </w:rPr>
          <w:t>Texas Commerce Bank</w:t>
        </w:r>
      </w:hyperlink>
    </w:p>
    <w:p w:rsidR="005652BF" w:rsidRDefault="005652BF" w:rsidP="005652BF">
      <w:pPr>
        <w:pStyle w:val="NormalWeb"/>
        <w:shd w:val="clear" w:color="auto" w:fill="FFFFFF"/>
        <w:spacing w:before="120" w:beforeAutospacing="0" w:after="120" w:afterAutospacing="0"/>
        <w:rPr>
          <w:rFonts w:ascii="Arial" w:hAnsi="Arial" w:cs="Arial"/>
          <w:color w:val="202122"/>
          <w:sz w:val="20"/>
          <w:szCs w:val="14"/>
        </w:rPr>
      </w:pPr>
    </w:p>
    <w:p w:rsidR="005652BF" w:rsidRDefault="005652BF" w:rsidP="005652BF">
      <w:pPr>
        <w:pStyle w:val="NormalWeb"/>
        <w:shd w:val="clear" w:color="auto" w:fill="FFFFFF"/>
        <w:spacing w:before="120" w:beforeAutospacing="0" w:after="120" w:afterAutospacing="0"/>
        <w:rPr>
          <w:rFonts w:ascii="Arial" w:hAnsi="Arial" w:cs="Arial"/>
          <w:color w:val="202122"/>
          <w:sz w:val="20"/>
          <w:szCs w:val="14"/>
        </w:rPr>
      </w:pPr>
    </w:p>
    <w:p w:rsidR="005652BF" w:rsidRDefault="005652BF" w:rsidP="005652BF">
      <w:pPr>
        <w:pStyle w:val="NormalWeb"/>
        <w:shd w:val="clear" w:color="auto" w:fill="FFFFFF"/>
        <w:spacing w:before="120" w:beforeAutospacing="0" w:after="120" w:afterAutospacing="0"/>
        <w:rPr>
          <w:rFonts w:ascii="Arial" w:hAnsi="Arial" w:cs="Arial"/>
          <w:color w:val="202122"/>
          <w:sz w:val="20"/>
          <w:szCs w:val="14"/>
        </w:rPr>
      </w:pPr>
    </w:p>
    <w:p w:rsidR="005652BF" w:rsidRDefault="005652BF" w:rsidP="005652BF">
      <w:pPr>
        <w:pStyle w:val="NormalWeb"/>
        <w:shd w:val="clear" w:color="auto" w:fill="FFFFFF"/>
        <w:spacing w:before="120" w:beforeAutospacing="0" w:after="120" w:afterAutospacing="0"/>
        <w:rPr>
          <w:rFonts w:ascii="Arial" w:hAnsi="Arial" w:cs="Arial"/>
          <w:color w:val="202122"/>
          <w:sz w:val="20"/>
          <w:szCs w:val="14"/>
        </w:rPr>
      </w:pPr>
    </w:p>
    <w:p w:rsidR="005652BF" w:rsidRDefault="005652BF" w:rsidP="005652BF">
      <w:pPr>
        <w:pStyle w:val="NormalWeb"/>
        <w:shd w:val="clear" w:color="auto" w:fill="FFFFFF"/>
        <w:spacing w:before="120" w:beforeAutospacing="0" w:after="120" w:afterAutospacing="0"/>
        <w:rPr>
          <w:rFonts w:ascii="Arial" w:hAnsi="Arial" w:cs="Arial"/>
          <w:color w:val="202122"/>
          <w:sz w:val="20"/>
          <w:szCs w:val="14"/>
        </w:rPr>
      </w:pPr>
    </w:p>
    <w:p w:rsidR="005652BF" w:rsidRDefault="005652BF" w:rsidP="005652BF">
      <w:pPr>
        <w:pStyle w:val="NormalWeb"/>
        <w:shd w:val="clear" w:color="auto" w:fill="FFFFFF"/>
        <w:spacing w:before="120" w:beforeAutospacing="0" w:after="120" w:afterAutospacing="0"/>
        <w:rPr>
          <w:rFonts w:ascii="Arial" w:hAnsi="Arial" w:cs="Arial"/>
          <w:color w:val="202122"/>
          <w:sz w:val="20"/>
          <w:szCs w:val="14"/>
        </w:rPr>
      </w:pPr>
    </w:p>
    <w:p w:rsidR="005652BF" w:rsidRDefault="005652BF" w:rsidP="005652BF">
      <w:pPr>
        <w:pStyle w:val="NormalWeb"/>
        <w:shd w:val="clear" w:color="auto" w:fill="FFFFFF"/>
        <w:spacing w:before="120" w:beforeAutospacing="0" w:after="120" w:afterAutospacing="0"/>
        <w:rPr>
          <w:rFonts w:ascii="Arial" w:hAnsi="Arial" w:cs="Arial"/>
          <w:color w:val="202122"/>
          <w:sz w:val="20"/>
          <w:szCs w:val="14"/>
        </w:rPr>
      </w:pPr>
    </w:p>
    <w:p w:rsidR="005652BF" w:rsidRPr="005652BF" w:rsidRDefault="005652BF" w:rsidP="005652BF">
      <w:pPr>
        <w:pStyle w:val="NormalWeb"/>
        <w:shd w:val="clear" w:color="auto" w:fill="FFFFFF"/>
        <w:spacing w:before="120" w:beforeAutospacing="0" w:after="120" w:afterAutospacing="0"/>
        <w:rPr>
          <w:rFonts w:ascii="Arial" w:hAnsi="Arial" w:cs="Arial"/>
          <w:color w:val="202122"/>
          <w:sz w:val="20"/>
          <w:szCs w:val="14"/>
        </w:rPr>
      </w:pPr>
      <w:r>
        <w:rPr>
          <w:rFonts w:ascii="Arial" w:hAnsi="Arial" w:cs="Arial"/>
          <w:noProof/>
          <w:color w:val="202122"/>
          <w:sz w:val="20"/>
          <w:szCs w:val="14"/>
        </w:rPr>
        <w:lastRenderedPageBreak/>
        <w:drawing>
          <wp:inline distT="0" distB="0" distL="0" distR="0">
            <wp:extent cx="1778000" cy="1889760"/>
            <wp:effectExtent l="19050" t="0" r="0" b="0"/>
            <wp:docPr id="1" name="Picture 0" descr="383_Madison_Ave_Bear_Stearns_C_R_Flick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3_Madison_Ave_Bear_Stearns_C_R_Flickr_1.jpg"/>
                    <pic:cNvPicPr/>
                  </pic:nvPicPr>
                  <pic:blipFill>
                    <a:blip r:embed="rId84"/>
                    <a:stretch>
                      <a:fillRect/>
                    </a:stretch>
                  </pic:blipFill>
                  <pic:spPr>
                    <a:xfrm>
                      <a:off x="0" y="0"/>
                      <a:ext cx="1778000" cy="1889760"/>
                    </a:xfrm>
                    <a:prstGeom prst="rect">
                      <a:avLst/>
                    </a:prstGeom>
                  </pic:spPr>
                </pic:pic>
              </a:graphicData>
            </a:graphic>
          </wp:inline>
        </w:drawing>
      </w:r>
      <w:r w:rsidR="00FF6D0C">
        <w:rPr>
          <w:rFonts w:ascii="Arial" w:hAnsi="Arial" w:cs="Arial"/>
          <w:color w:val="202122"/>
          <w:sz w:val="20"/>
          <w:szCs w:val="14"/>
        </w:rPr>
        <w:t xml:space="preserve">                       </w:t>
      </w:r>
      <w:r w:rsidR="00FF6D0C">
        <w:rPr>
          <w:rFonts w:ascii="Arial" w:hAnsi="Arial" w:cs="Arial"/>
          <w:noProof/>
          <w:color w:val="202122"/>
          <w:sz w:val="20"/>
          <w:szCs w:val="14"/>
        </w:rPr>
        <w:drawing>
          <wp:inline distT="0" distB="0" distL="0" distR="0">
            <wp:extent cx="1835150" cy="1851660"/>
            <wp:effectExtent l="19050" t="0" r="0" b="0"/>
            <wp:docPr id="2" name="Picture 1" descr="270_Park_Avenue_Photo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0_Park_Avenue_Photomontage.jpg"/>
                    <pic:cNvPicPr/>
                  </pic:nvPicPr>
                  <pic:blipFill>
                    <a:blip r:embed="rId85"/>
                    <a:stretch>
                      <a:fillRect/>
                    </a:stretch>
                  </pic:blipFill>
                  <pic:spPr>
                    <a:xfrm>
                      <a:off x="0" y="0"/>
                      <a:ext cx="1835150" cy="1851660"/>
                    </a:xfrm>
                    <a:prstGeom prst="rect">
                      <a:avLst/>
                    </a:prstGeom>
                  </pic:spPr>
                </pic:pic>
              </a:graphicData>
            </a:graphic>
          </wp:inline>
        </w:drawing>
      </w:r>
    </w:p>
    <w:p w:rsidR="005652BF" w:rsidRPr="005652BF" w:rsidRDefault="005652BF">
      <w:pPr>
        <w:rPr>
          <w:b/>
          <w:color w:val="000000" w:themeColor="text1"/>
          <w:sz w:val="32"/>
        </w:rPr>
      </w:pPr>
      <w:r w:rsidRPr="005652BF">
        <w:rPr>
          <w:rFonts w:ascii="Arial" w:hAnsi="Arial" w:cs="Arial"/>
          <w:b/>
          <w:color w:val="202122"/>
          <w:sz w:val="15"/>
          <w:szCs w:val="13"/>
          <w:shd w:val="clear" w:color="auto" w:fill="FFFFFF"/>
        </w:rPr>
        <w:t>JPMorgan Chase Temporary World Headquarters</w:t>
      </w:r>
      <w:r w:rsidR="00FF6D0C">
        <w:rPr>
          <w:rFonts w:ascii="Arial" w:hAnsi="Arial" w:cs="Arial"/>
          <w:b/>
          <w:color w:val="202122"/>
          <w:sz w:val="15"/>
          <w:szCs w:val="13"/>
          <w:shd w:val="clear" w:color="auto" w:fill="FFFFFF"/>
        </w:rPr>
        <w:t xml:space="preserve">                </w:t>
      </w:r>
      <w:r w:rsidR="00FF6D0C" w:rsidRPr="00FF6D0C">
        <w:rPr>
          <w:rFonts w:ascii="Arial" w:hAnsi="Arial" w:cs="Arial"/>
          <w:color w:val="202122"/>
          <w:sz w:val="13"/>
          <w:szCs w:val="13"/>
          <w:shd w:val="clear" w:color="auto" w:fill="FFFFFF"/>
        </w:rPr>
        <w:t xml:space="preserve"> </w:t>
      </w:r>
      <w:r w:rsidR="00FF6D0C" w:rsidRPr="00FF6D0C">
        <w:rPr>
          <w:rFonts w:ascii="Arial" w:hAnsi="Arial" w:cs="Arial"/>
          <w:b/>
          <w:color w:val="202122"/>
          <w:sz w:val="15"/>
          <w:szCs w:val="13"/>
          <w:shd w:val="clear" w:color="auto" w:fill="FFFFFF"/>
        </w:rPr>
        <w:t>Artist's impression of the under–construction JPMorgan Chase World Headquarter</w:t>
      </w:r>
      <w:r w:rsidR="00FF6D0C" w:rsidRPr="00FF6D0C">
        <w:rPr>
          <w:rFonts w:ascii="Arial" w:hAnsi="Arial" w:cs="Arial"/>
          <w:color w:val="202122"/>
          <w:sz w:val="15"/>
          <w:szCs w:val="13"/>
          <w:shd w:val="clear" w:color="auto" w:fill="FFFFFF"/>
        </w:rPr>
        <w:t xml:space="preserve"> </w:t>
      </w:r>
      <w:r w:rsidRPr="005652BF">
        <w:rPr>
          <w:rFonts w:ascii="Arial" w:hAnsi="Arial" w:cs="Arial"/>
          <w:b/>
          <w:color w:val="202122"/>
          <w:sz w:val="15"/>
          <w:szCs w:val="13"/>
        </w:rPr>
        <w:br/>
      </w:r>
      <w:hyperlink r:id="rId86" w:tooltip="383 Madison Avenue" w:history="1">
        <w:r w:rsidRPr="005652BF">
          <w:rPr>
            <w:rStyle w:val="Hyperlink"/>
            <w:rFonts w:ascii="Arial" w:hAnsi="Arial" w:cs="Arial"/>
            <w:b/>
            <w:color w:val="0645AD"/>
            <w:sz w:val="15"/>
            <w:szCs w:val="13"/>
            <w:shd w:val="clear" w:color="auto" w:fill="FFFFFF"/>
          </w:rPr>
          <w:t>383 Madison Avenue</w:t>
        </w:r>
      </w:hyperlink>
      <w:r w:rsidR="00FF6D0C">
        <w:rPr>
          <w:b/>
          <w:sz w:val="24"/>
        </w:rPr>
        <w:t xml:space="preserve">                                                  27 park NEW YORK</w:t>
      </w:r>
      <w:r w:rsidRPr="005652BF">
        <w:rPr>
          <w:rFonts w:ascii="Arial" w:hAnsi="Arial" w:cs="Arial"/>
          <w:b/>
          <w:color w:val="202122"/>
          <w:sz w:val="15"/>
          <w:szCs w:val="13"/>
        </w:rPr>
        <w:br/>
      </w:r>
      <w:r w:rsidRPr="005652BF">
        <w:rPr>
          <w:rFonts w:ascii="Arial" w:hAnsi="Arial" w:cs="Arial"/>
          <w:b/>
          <w:color w:val="202122"/>
          <w:sz w:val="15"/>
          <w:szCs w:val="13"/>
          <w:shd w:val="clear" w:color="auto" w:fill="FFFFFF"/>
        </w:rPr>
        <w:t>New York City, New York</w:t>
      </w:r>
    </w:p>
    <w:p w:rsidR="005652BF" w:rsidRDefault="005652BF">
      <w:pPr>
        <w:rPr>
          <w:color w:val="000000" w:themeColor="text1"/>
          <w:sz w:val="28"/>
        </w:rPr>
      </w:pPr>
    </w:p>
    <w:p w:rsidR="005652BF" w:rsidRDefault="005652BF">
      <w:pPr>
        <w:rPr>
          <w:color w:val="000000" w:themeColor="text1"/>
          <w:sz w:val="28"/>
        </w:rPr>
      </w:pPr>
    </w:p>
    <w:p w:rsidR="005652BF" w:rsidRDefault="00FF6D0C">
      <w:pPr>
        <w:rPr>
          <w:color w:val="000000" w:themeColor="text1"/>
          <w:sz w:val="28"/>
        </w:rPr>
      </w:pPr>
      <w:r>
        <w:rPr>
          <w:noProof/>
          <w:color w:val="000000" w:themeColor="text1"/>
          <w:sz w:val="28"/>
        </w:rPr>
        <w:drawing>
          <wp:inline distT="0" distB="0" distL="0" distR="0">
            <wp:extent cx="1955800" cy="1866900"/>
            <wp:effectExtent l="19050" t="0" r="6350" b="0"/>
            <wp:docPr id="3" name="Picture 2" descr="277park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7parkave.jpg"/>
                    <pic:cNvPicPr/>
                  </pic:nvPicPr>
                  <pic:blipFill>
                    <a:blip r:embed="rId87"/>
                    <a:stretch>
                      <a:fillRect/>
                    </a:stretch>
                  </pic:blipFill>
                  <pic:spPr>
                    <a:xfrm>
                      <a:off x="0" y="0"/>
                      <a:ext cx="1955800" cy="1866900"/>
                    </a:xfrm>
                    <a:prstGeom prst="rect">
                      <a:avLst/>
                    </a:prstGeom>
                  </pic:spPr>
                </pic:pic>
              </a:graphicData>
            </a:graphic>
          </wp:inline>
        </w:drawing>
      </w:r>
      <w:r>
        <w:rPr>
          <w:color w:val="000000" w:themeColor="text1"/>
          <w:sz w:val="28"/>
        </w:rPr>
        <w:t xml:space="preserve">                                         </w:t>
      </w:r>
      <w:r>
        <w:rPr>
          <w:noProof/>
          <w:color w:val="000000" w:themeColor="text1"/>
          <w:sz w:val="28"/>
        </w:rPr>
        <w:drawing>
          <wp:inline distT="0" distB="0" distL="0" distR="0">
            <wp:extent cx="1930400" cy="1870710"/>
            <wp:effectExtent l="19050" t="0" r="0" b="0"/>
            <wp:docPr id="4" name="Picture 3" descr="152px-Chase_Tower_06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px-Chase_Tower_060514.jpg"/>
                    <pic:cNvPicPr/>
                  </pic:nvPicPr>
                  <pic:blipFill>
                    <a:blip r:embed="rId88"/>
                    <a:stretch>
                      <a:fillRect/>
                    </a:stretch>
                  </pic:blipFill>
                  <pic:spPr>
                    <a:xfrm>
                      <a:off x="0" y="0"/>
                      <a:ext cx="1930400" cy="1870710"/>
                    </a:xfrm>
                    <a:prstGeom prst="rect">
                      <a:avLst/>
                    </a:prstGeom>
                  </pic:spPr>
                </pic:pic>
              </a:graphicData>
            </a:graphic>
          </wp:inline>
        </w:drawing>
      </w:r>
    </w:p>
    <w:p w:rsidR="00FF6D0C" w:rsidRDefault="00FF6D0C">
      <w:pPr>
        <w:rPr>
          <w:color w:val="000000" w:themeColor="text1"/>
          <w:sz w:val="28"/>
        </w:rPr>
      </w:pPr>
      <w:r>
        <w:rPr>
          <w:color w:val="000000" w:themeColor="text1"/>
          <w:sz w:val="28"/>
        </w:rPr>
        <w:t xml:space="preserve">277 Park Avenue </w:t>
      </w:r>
      <w:proofErr w:type="gramStart"/>
      <w:r>
        <w:rPr>
          <w:color w:val="000000" w:themeColor="text1"/>
          <w:sz w:val="28"/>
        </w:rPr>
        <w:t>NEW YORK</w:t>
      </w:r>
      <w:proofErr w:type="gramEnd"/>
      <w:r>
        <w:rPr>
          <w:color w:val="000000" w:themeColor="text1"/>
          <w:sz w:val="28"/>
        </w:rPr>
        <w:t xml:space="preserve"> City                                Chase tower Chicago</w:t>
      </w:r>
    </w:p>
    <w:p w:rsidR="00FF6D0C" w:rsidRPr="00FF6D0C" w:rsidRDefault="00FF6D0C" w:rsidP="00FF6D0C">
      <w:pPr>
        <w:rPr>
          <w:color w:val="000000" w:themeColor="text1"/>
          <w:sz w:val="28"/>
        </w:rPr>
      </w:pPr>
      <w:r w:rsidRPr="00FF6D0C">
        <w:rPr>
          <w:color w:val="000000" w:themeColor="text1"/>
          <w:sz w:val="28"/>
        </w:rPr>
        <w:t>The primary headquarters of the Global Corporate Bank are in London, with regional offices in Hong K</w:t>
      </w:r>
      <w:r>
        <w:rPr>
          <w:color w:val="000000" w:themeColor="text1"/>
          <w:sz w:val="28"/>
        </w:rPr>
        <w:t xml:space="preserve">ong, New York, and Sao Paulo. </w:t>
      </w:r>
    </w:p>
    <w:p w:rsidR="00FF6D0C" w:rsidRDefault="00FF6D0C" w:rsidP="00FF6D0C">
      <w:pPr>
        <w:rPr>
          <w:color w:val="000000" w:themeColor="text1"/>
          <w:sz w:val="28"/>
        </w:rPr>
      </w:pPr>
      <w:r w:rsidRPr="00FF6D0C">
        <w:rPr>
          <w:color w:val="000000" w:themeColor="text1"/>
          <w:sz w:val="28"/>
        </w:rPr>
        <w:t>Card Services has locations in Elgin, Illinois, Springfield, Missouri, San Antonio, Texas, Mumbai, India, and Cebu, Philippines, with company headquarters in Wilmington, Delaware.</w:t>
      </w:r>
    </w:p>
    <w:p w:rsidR="00FF6D0C" w:rsidRDefault="00FF6D0C" w:rsidP="00FF6D0C">
      <w:pPr>
        <w:rPr>
          <w:color w:val="000000" w:themeColor="text1"/>
          <w:sz w:val="28"/>
        </w:rPr>
      </w:pPr>
      <w:r w:rsidRPr="00FF6D0C">
        <w:rPr>
          <w:color w:val="000000" w:themeColor="text1"/>
          <w:sz w:val="28"/>
        </w:rPr>
        <w:t xml:space="preserve">Phoenix, Arizona; Los Angeles, California; Newark, Delaware; Orlando, Florida; Tampa, Florida; Indianapolis, Indiana; Louisville, Kentucky; Brooklyn, New York; Rochester, New York; Columbus, Ohio; Dallas, Texas; Fort Worth, Texas; Plano, </w:t>
      </w:r>
      <w:r w:rsidRPr="00FF6D0C">
        <w:rPr>
          <w:color w:val="000000" w:themeColor="text1"/>
          <w:sz w:val="28"/>
        </w:rPr>
        <w:lastRenderedPageBreak/>
        <w:t>Texas; and Milwaukee, Wisconsin are among the additional large operation centres.</w:t>
      </w:r>
    </w:p>
    <w:p w:rsidR="00FF6D0C" w:rsidRPr="00FF6D0C" w:rsidRDefault="00FF6D0C" w:rsidP="00FF6D0C">
      <w:pPr>
        <w:rPr>
          <w:color w:val="000000" w:themeColor="text1"/>
          <w:sz w:val="28"/>
        </w:rPr>
      </w:pPr>
      <w:r w:rsidRPr="00FF6D0C">
        <w:rPr>
          <w:color w:val="000000" w:themeColor="text1"/>
          <w:sz w:val="28"/>
        </w:rPr>
        <w:t>The Canadian operation centres are in Burlington, Ontario, and Toronto, Ontario.</w:t>
      </w:r>
    </w:p>
    <w:p w:rsidR="00FF6D0C" w:rsidRPr="00FF6D0C" w:rsidRDefault="00FF6D0C" w:rsidP="00FF6D0C">
      <w:pPr>
        <w:rPr>
          <w:color w:val="000000" w:themeColor="text1"/>
          <w:sz w:val="28"/>
        </w:rPr>
      </w:pPr>
    </w:p>
    <w:p w:rsidR="00FF6D0C" w:rsidRPr="00FF6D0C" w:rsidRDefault="00FF6D0C" w:rsidP="00FF6D0C">
      <w:pPr>
        <w:rPr>
          <w:color w:val="000000" w:themeColor="text1"/>
          <w:sz w:val="28"/>
        </w:rPr>
      </w:pPr>
      <w:r w:rsidRPr="00FF6D0C">
        <w:rPr>
          <w:color w:val="000000" w:themeColor="text1"/>
          <w:sz w:val="28"/>
        </w:rPr>
        <w:t>In the United Kingdom, operations centres are located in Bournemouth, Glasgow, London, Liverpool, and Swindon. The European headquarters are also located in London.</w:t>
      </w:r>
    </w:p>
    <w:p w:rsidR="00FF6D0C" w:rsidRPr="00FF6D0C" w:rsidRDefault="00FF6D0C" w:rsidP="00FF6D0C">
      <w:pPr>
        <w:rPr>
          <w:color w:val="000000" w:themeColor="text1"/>
          <w:sz w:val="28"/>
        </w:rPr>
      </w:pPr>
    </w:p>
    <w:p w:rsidR="00FF6D0C" w:rsidRPr="00FF6D0C" w:rsidRDefault="00FF6D0C" w:rsidP="00FF6D0C">
      <w:pPr>
        <w:rPr>
          <w:color w:val="000000" w:themeColor="text1"/>
          <w:sz w:val="28"/>
        </w:rPr>
      </w:pPr>
      <w:r w:rsidRPr="00FF6D0C">
        <w:rPr>
          <w:color w:val="000000" w:themeColor="text1"/>
          <w:sz w:val="28"/>
        </w:rPr>
        <w:t>Manila, Philippines; Cebu, Philippines; Mumbai, India; Bangalore, India; Hyderabad, India; New Delhi, India; Buenos Aires, Argentina; Sao Paulo, Brazil; Mexico City, Mexico; and Jerusalem, Israel are also home to additional offices and technological activities.</w:t>
      </w:r>
    </w:p>
    <w:p w:rsidR="00FF6D0C" w:rsidRPr="00FF6D0C" w:rsidRDefault="00FF6D0C" w:rsidP="00FF6D0C">
      <w:pPr>
        <w:rPr>
          <w:color w:val="000000" w:themeColor="text1"/>
          <w:sz w:val="28"/>
        </w:rPr>
      </w:pPr>
    </w:p>
    <w:p w:rsidR="00FF6D0C" w:rsidRDefault="00FF6D0C" w:rsidP="00FF6D0C">
      <w:pPr>
        <w:rPr>
          <w:color w:val="000000" w:themeColor="text1"/>
          <w:sz w:val="28"/>
        </w:rPr>
      </w:pPr>
      <w:r w:rsidRPr="00FF6D0C">
        <w:rPr>
          <w:color w:val="000000" w:themeColor="text1"/>
          <w:sz w:val="28"/>
        </w:rPr>
        <w:t>JPMorgan Chase opened a new global operations centre in Warsaw, Poland, in late autumn 2017.</w:t>
      </w:r>
    </w:p>
    <w:p w:rsidR="00FF6D0C" w:rsidRDefault="00FF6D0C" w:rsidP="00FF6D0C">
      <w:pPr>
        <w:rPr>
          <w:color w:val="000000" w:themeColor="text1"/>
          <w:sz w:val="28"/>
        </w:rPr>
      </w:pPr>
    </w:p>
    <w:p w:rsidR="00FF6D0C" w:rsidRPr="00BC330F" w:rsidRDefault="00FF6D0C" w:rsidP="00FF6D0C">
      <w:pPr>
        <w:pStyle w:val="Heading2"/>
        <w:pBdr>
          <w:bottom w:val="single" w:sz="4" w:space="0" w:color="A2A9B1"/>
        </w:pBdr>
        <w:shd w:val="clear" w:color="auto" w:fill="FFFFFF"/>
        <w:spacing w:before="240" w:beforeAutospacing="0" w:after="60" w:afterAutospacing="0"/>
        <w:rPr>
          <w:rFonts w:ascii="Georgia" w:hAnsi="Georgia"/>
          <w:bCs w:val="0"/>
          <w:color w:val="000000"/>
        </w:rPr>
      </w:pPr>
      <w:r w:rsidRPr="00BC330F">
        <w:rPr>
          <w:rStyle w:val="mw-headline"/>
          <w:rFonts w:ascii="Georgia" w:hAnsi="Georgia"/>
          <w:bCs w:val="0"/>
          <w:color w:val="000000"/>
        </w:rPr>
        <w:t>Credit derivatives</w:t>
      </w:r>
    </w:p>
    <w:p w:rsidR="00BC330F" w:rsidRPr="00BC330F" w:rsidRDefault="00BC330F" w:rsidP="00BC330F">
      <w:pPr>
        <w:rPr>
          <w:color w:val="000000" w:themeColor="text1"/>
          <w:sz w:val="28"/>
        </w:rPr>
      </w:pPr>
    </w:p>
    <w:p w:rsidR="00FF6D0C" w:rsidRDefault="00BC330F" w:rsidP="00BC330F">
      <w:pPr>
        <w:rPr>
          <w:color w:val="000000" w:themeColor="text1"/>
          <w:sz w:val="28"/>
        </w:rPr>
      </w:pPr>
      <w:r w:rsidRPr="00BC330F">
        <w:rPr>
          <w:color w:val="000000" w:themeColor="text1"/>
          <w:sz w:val="28"/>
        </w:rPr>
        <w:t xml:space="preserve">JPMorgan's derivatives division (including Blythe Masters) was a forerunner in the development of credit derivatives like the credit default swap. Exxon was able to borrow money from JPMorgan while JPMorgan moved the risk to the European Bank for Reconstruction and Development. The 'BISTRO,' a bundle of credit default swaps that was the forerunner of the Synthetic CDO, was later established by JPMorgan's team. [155] [156] </w:t>
      </w:r>
      <w:proofErr w:type="gramStart"/>
      <w:r w:rsidRPr="00BC330F">
        <w:rPr>
          <w:color w:val="000000" w:themeColor="text1"/>
          <w:sz w:val="28"/>
        </w:rPr>
        <w:t>By</w:t>
      </w:r>
      <w:proofErr w:type="gramEnd"/>
      <w:r w:rsidRPr="00BC330F">
        <w:rPr>
          <w:color w:val="000000" w:themeColor="text1"/>
          <w:sz w:val="28"/>
        </w:rPr>
        <w:t xml:space="preserve"> total notional value, JPMorgan has the largest credit default swap and credit derivatives portfolio of any US bank in 2013.</w:t>
      </w:r>
    </w:p>
    <w:p w:rsidR="00BC330F" w:rsidRDefault="00BC330F" w:rsidP="00BC330F">
      <w:pPr>
        <w:rPr>
          <w:color w:val="000000" w:themeColor="text1"/>
          <w:sz w:val="28"/>
        </w:rPr>
      </w:pPr>
    </w:p>
    <w:p w:rsidR="00BC330F" w:rsidRPr="00BC330F" w:rsidRDefault="00BC330F" w:rsidP="00BC330F">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lastRenderedPageBreak/>
        <w:t xml:space="preserve">                          Multibillion-dollar trading loss</w:t>
      </w:r>
    </w:p>
    <w:p w:rsidR="00BC330F" w:rsidRDefault="00BC330F" w:rsidP="00BC330F"/>
    <w:p w:rsidR="00BC330F" w:rsidRDefault="00BC330F" w:rsidP="00BC330F">
      <w:r>
        <w:t xml:space="preserve">Hedge fund insiders learned in April 2012 that Bruno </w:t>
      </w:r>
      <w:proofErr w:type="spellStart"/>
      <w:r>
        <w:t>Iksil</w:t>
      </w:r>
      <w:proofErr w:type="spellEnd"/>
      <w:r>
        <w:t>, a trader with JPMorgan Chase &amp; Co. who was dubbed "the London whale" because of the massive positions he was taking, was possibly affecting the credit default swaps market. Traders, including another division of J.P. Morgan, are known to have placed large opposing bets on his holdings by purchasing the derivatives supplied by J.P. Morgan in such large volumes.  Early reports were ignored or downplayed by the firm in order to limit their exposure. In May 2012, the firm announced significant losses of $2 billion in connection with these deals, which were revised to $2 billion in May 2013.</w:t>
      </w:r>
    </w:p>
    <w:p w:rsidR="00BC330F" w:rsidRDefault="00BC330F" w:rsidP="00BC330F">
      <w:r w:rsidRPr="00BC330F">
        <w:t>JPMorgan Chase agreed to pay $920 million in fines and penalties to US and UK regulators for violations linked to the trading loss and other occurrences on September 18, 2013. The fine was part of a multiagency and multinational agreement involving the Federal Reserve, the Office of the Comptroller of the Currency, and the Securities and Exchange Commission in the United States, as well as the Financial Conduct Authority in the United Kingdom. The business has admitted to breaching securitie</w:t>
      </w:r>
      <w:r w:rsidR="009A405F">
        <w:t xml:space="preserve">s laws in the United States. </w:t>
      </w:r>
      <w:r w:rsidRPr="00BC330F">
        <w:t>The fines were the third-largest imposed by US regulators and the second-largest i</w:t>
      </w:r>
      <w:r w:rsidR="009A405F">
        <w:t xml:space="preserve">mposed by UK authorities. </w:t>
      </w:r>
      <w:r w:rsidRPr="00BC330F">
        <w:t>Two traders are facing criminal charges</w:t>
      </w:r>
      <w:r w:rsidR="009A405F">
        <w:t xml:space="preserve"> as of September 19, 2013. </w:t>
      </w:r>
      <w:r w:rsidRPr="00BC330F">
        <w:t xml:space="preserve"> It's also the first time in a long time that a major American financial institution has made such a move.</w:t>
      </w:r>
    </w:p>
    <w:p w:rsidR="009A405F" w:rsidRDefault="009A405F" w:rsidP="009A405F">
      <w:r>
        <w:t xml:space="preserve">The degree of monitoring from senior management on traders was </w:t>
      </w:r>
      <w:proofErr w:type="spellStart"/>
      <w:r>
        <w:t>criticised</w:t>
      </w:r>
      <w:proofErr w:type="spellEnd"/>
      <w:r>
        <w:t xml:space="preserve"> in an SEC investigation, and the FCA claimed the incident highlighted "flaws pervading all levels of the firm: from portfolio level straight up to senior management."</w:t>
      </w:r>
    </w:p>
    <w:p w:rsidR="009A405F" w:rsidRDefault="009A405F" w:rsidP="009A405F"/>
    <w:p w:rsidR="009A405F" w:rsidRPr="00BC330F" w:rsidRDefault="009A405F" w:rsidP="009A405F">
      <w:r>
        <w:t>The BBC reported from the New York Stock Exchange on the day of the fine that the penalty "barely registered" with traders there, that the news had been expected, and that the business had budgeted for the financial damage.</w:t>
      </w:r>
    </w:p>
    <w:p w:rsidR="00BC330F" w:rsidRPr="00BC330F" w:rsidRDefault="00BC330F" w:rsidP="00BC330F"/>
    <w:p w:rsidR="00BC330F" w:rsidRDefault="00BC330F" w:rsidP="00BC330F">
      <w:pPr>
        <w:rPr>
          <w:color w:val="000000" w:themeColor="text1"/>
          <w:sz w:val="28"/>
        </w:rPr>
      </w:pPr>
    </w:p>
    <w:p w:rsidR="00FF6D0C" w:rsidRDefault="00FF6D0C" w:rsidP="00FF6D0C">
      <w:pPr>
        <w:rPr>
          <w:color w:val="000000" w:themeColor="text1"/>
          <w:sz w:val="28"/>
        </w:rPr>
      </w:pPr>
    </w:p>
    <w:p w:rsidR="00FF6D0C" w:rsidRDefault="00FF6D0C" w:rsidP="00FF6D0C">
      <w:pPr>
        <w:rPr>
          <w:color w:val="000000" w:themeColor="text1"/>
          <w:sz w:val="28"/>
        </w:rPr>
      </w:pPr>
    </w:p>
    <w:p w:rsidR="00FF6D0C" w:rsidRDefault="00FF6D0C" w:rsidP="00FF6D0C">
      <w:pPr>
        <w:rPr>
          <w:color w:val="000000" w:themeColor="text1"/>
          <w:sz w:val="28"/>
        </w:rPr>
      </w:pPr>
    </w:p>
    <w:p w:rsidR="00FF6D0C" w:rsidRDefault="00FF6D0C" w:rsidP="00FF6D0C">
      <w:pPr>
        <w:rPr>
          <w:color w:val="000000" w:themeColor="text1"/>
          <w:sz w:val="28"/>
        </w:rPr>
      </w:pPr>
    </w:p>
    <w:p w:rsidR="00FF6D0C" w:rsidRDefault="00FF6D0C" w:rsidP="00FF6D0C">
      <w:pPr>
        <w:rPr>
          <w:color w:val="000000" w:themeColor="text1"/>
          <w:sz w:val="28"/>
        </w:rPr>
      </w:pPr>
    </w:p>
    <w:p w:rsidR="009A405F" w:rsidRDefault="009A405F" w:rsidP="009A405F">
      <w:pPr>
        <w:pStyle w:val="Heading2"/>
        <w:pBdr>
          <w:bottom w:val="single" w:sz="4"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lastRenderedPageBreak/>
        <w:t>Major sponsorships</w:t>
      </w:r>
    </w:p>
    <w:p w:rsidR="00FF6D0C" w:rsidRDefault="00FF6D0C" w:rsidP="00FF6D0C">
      <w:pPr>
        <w:rPr>
          <w:color w:val="000000" w:themeColor="text1"/>
          <w:sz w:val="28"/>
        </w:rPr>
      </w:pPr>
    </w:p>
    <w:p w:rsidR="009A405F" w:rsidRDefault="009A405F" w:rsidP="009A405F">
      <w:pPr>
        <w:numPr>
          <w:ilvl w:val="0"/>
          <w:numId w:val="5"/>
        </w:numPr>
        <w:shd w:val="clear" w:color="auto" w:fill="FFFFFF"/>
        <w:spacing w:before="100" w:beforeAutospacing="1" w:after="24" w:line="240" w:lineRule="auto"/>
        <w:ind w:left="384"/>
        <w:rPr>
          <w:rFonts w:ascii="Arial" w:eastAsia="Times New Roman" w:hAnsi="Arial" w:cs="Arial"/>
          <w:color w:val="202122"/>
          <w:sz w:val="28"/>
          <w:szCs w:val="14"/>
        </w:rPr>
      </w:pPr>
      <w:hyperlink r:id="rId89" w:tooltip="Chase Field" w:history="1">
        <w:r w:rsidRPr="009A405F">
          <w:rPr>
            <w:rFonts w:ascii="Arial" w:eastAsia="Times New Roman" w:hAnsi="Arial" w:cs="Arial"/>
            <w:color w:val="0645AD"/>
            <w:sz w:val="28"/>
          </w:rPr>
          <w:t>Chase Field</w:t>
        </w:r>
      </w:hyperlink>
      <w:r w:rsidRPr="009A405F">
        <w:rPr>
          <w:rFonts w:ascii="Arial" w:eastAsia="Times New Roman" w:hAnsi="Arial" w:cs="Arial"/>
          <w:color w:val="202122"/>
          <w:sz w:val="28"/>
          <w:szCs w:val="14"/>
        </w:rPr>
        <w:t> (formerly Bank One Ballpark), </w:t>
      </w:r>
      <w:hyperlink r:id="rId90" w:tooltip="Phoenix, Arizona" w:history="1">
        <w:r w:rsidRPr="009A405F">
          <w:rPr>
            <w:rFonts w:ascii="Arial" w:eastAsia="Times New Roman" w:hAnsi="Arial" w:cs="Arial"/>
            <w:color w:val="0645AD"/>
            <w:sz w:val="28"/>
          </w:rPr>
          <w:t>Phoenix, Arizona</w:t>
        </w:r>
      </w:hyperlink>
      <w:r w:rsidRPr="009A405F">
        <w:rPr>
          <w:rFonts w:ascii="Arial" w:eastAsia="Times New Roman" w:hAnsi="Arial" w:cs="Arial"/>
          <w:color w:val="202122"/>
          <w:sz w:val="28"/>
          <w:szCs w:val="14"/>
        </w:rPr>
        <w:t> – </w:t>
      </w:r>
      <w:hyperlink r:id="rId91" w:tooltip="Arizona Diamondbacks" w:history="1">
        <w:r w:rsidRPr="009A405F">
          <w:rPr>
            <w:rFonts w:ascii="Arial" w:eastAsia="Times New Roman" w:hAnsi="Arial" w:cs="Arial"/>
            <w:color w:val="0645AD"/>
            <w:sz w:val="28"/>
          </w:rPr>
          <w:t>Arizona Diamondbacks</w:t>
        </w:r>
      </w:hyperlink>
      <w:r w:rsidRPr="009A405F">
        <w:rPr>
          <w:rFonts w:ascii="Arial" w:eastAsia="Times New Roman" w:hAnsi="Arial" w:cs="Arial"/>
          <w:color w:val="202122"/>
          <w:sz w:val="28"/>
          <w:szCs w:val="14"/>
        </w:rPr>
        <w:t>, </w:t>
      </w:r>
      <w:hyperlink r:id="rId92" w:tooltip="MLB" w:history="1">
        <w:r w:rsidRPr="009A405F">
          <w:rPr>
            <w:rFonts w:ascii="Arial" w:eastAsia="Times New Roman" w:hAnsi="Arial" w:cs="Arial"/>
            <w:color w:val="0645AD"/>
            <w:sz w:val="28"/>
          </w:rPr>
          <w:t>MLB</w:t>
        </w:r>
      </w:hyperlink>
    </w:p>
    <w:p w:rsidR="009A405F" w:rsidRPr="009A405F" w:rsidRDefault="009A405F" w:rsidP="009A405F">
      <w:pPr>
        <w:shd w:val="clear" w:color="auto" w:fill="FFFFFF"/>
        <w:spacing w:before="100" w:beforeAutospacing="1" w:after="24" w:line="240" w:lineRule="auto"/>
        <w:rPr>
          <w:rFonts w:ascii="Arial" w:eastAsia="Times New Roman" w:hAnsi="Arial" w:cs="Arial"/>
          <w:color w:val="202122"/>
          <w:sz w:val="28"/>
          <w:szCs w:val="14"/>
        </w:rPr>
      </w:pPr>
      <w:r>
        <w:rPr>
          <w:rFonts w:ascii="Arial" w:eastAsia="Times New Roman" w:hAnsi="Arial" w:cs="Arial"/>
          <w:color w:val="202122"/>
          <w:sz w:val="28"/>
          <w:szCs w:val="14"/>
        </w:rPr>
        <w:t xml:space="preserve">   </w:t>
      </w:r>
      <w:hyperlink r:id="rId93" w:tooltip="Chase Center (San Francisco)" w:history="1">
        <w:r w:rsidRPr="009A405F">
          <w:rPr>
            <w:rFonts w:ascii="Arial" w:eastAsia="Times New Roman" w:hAnsi="Arial" w:cs="Arial"/>
            <w:color w:val="0645AD"/>
            <w:sz w:val="28"/>
          </w:rPr>
          <w:t>Chase Center (San Francisco)</w:t>
        </w:r>
      </w:hyperlink>
      <w:r w:rsidRPr="009A405F">
        <w:rPr>
          <w:rFonts w:ascii="Arial" w:eastAsia="Times New Roman" w:hAnsi="Arial" w:cs="Arial"/>
          <w:color w:val="202122"/>
          <w:sz w:val="28"/>
          <w:szCs w:val="14"/>
        </w:rPr>
        <w:t> – </w:t>
      </w:r>
      <w:hyperlink r:id="rId94" w:tooltip="Golden State Warriors" w:history="1">
        <w:r w:rsidRPr="009A405F">
          <w:rPr>
            <w:rFonts w:ascii="Arial" w:eastAsia="Times New Roman" w:hAnsi="Arial" w:cs="Arial"/>
            <w:color w:val="0645AD"/>
            <w:sz w:val="28"/>
          </w:rPr>
          <w:t>Golden State Warriors</w:t>
        </w:r>
      </w:hyperlink>
      <w:r w:rsidRPr="009A405F">
        <w:rPr>
          <w:rFonts w:ascii="Arial" w:eastAsia="Times New Roman" w:hAnsi="Arial" w:cs="Arial"/>
          <w:color w:val="202122"/>
          <w:sz w:val="28"/>
          <w:szCs w:val="14"/>
        </w:rPr>
        <w:t>, </w:t>
      </w:r>
      <w:hyperlink r:id="rId95" w:tooltip="NBA" w:history="1">
        <w:r w:rsidRPr="009A405F">
          <w:rPr>
            <w:rFonts w:ascii="Arial" w:eastAsia="Times New Roman" w:hAnsi="Arial" w:cs="Arial"/>
            <w:color w:val="0645AD"/>
            <w:sz w:val="28"/>
          </w:rPr>
          <w:t>NBA</w:t>
        </w:r>
      </w:hyperlink>
      <w:r>
        <w:rPr>
          <w:rFonts w:ascii="Arial" w:eastAsia="Times New Roman" w:hAnsi="Arial" w:cs="Arial"/>
          <w:color w:val="202122"/>
          <w:sz w:val="28"/>
          <w:szCs w:val="14"/>
        </w:rPr>
        <w:t xml:space="preserve"> </w:t>
      </w:r>
      <w:hyperlink r:id="rId96" w:tooltip="Major League Soccer" w:history="1">
        <w:r w:rsidRPr="009A405F">
          <w:rPr>
            <w:rFonts w:ascii="Arial" w:eastAsia="Times New Roman" w:hAnsi="Arial" w:cs="Arial"/>
            <w:color w:val="0645AD"/>
            <w:sz w:val="28"/>
          </w:rPr>
          <w:t>Major League Soccer</w:t>
        </w:r>
      </w:hyperlink>
    </w:p>
    <w:p w:rsidR="009A405F" w:rsidRPr="009A405F" w:rsidRDefault="009A405F" w:rsidP="009A405F">
      <w:pPr>
        <w:shd w:val="clear" w:color="auto" w:fill="FFFFFF"/>
        <w:spacing w:before="100" w:beforeAutospacing="1" w:after="24" w:line="240" w:lineRule="auto"/>
        <w:ind w:left="384"/>
        <w:rPr>
          <w:rFonts w:ascii="Arial" w:eastAsia="Times New Roman" w:hAnsi="Arial" w:cs="Arial"/>
          <w:color w:val="202122"/>
          <w:sz w:val="28"/>
          <w:szCs w:val="14"/>
        </w:rPr>
      </w:pPr>
    </w:p>
    <w:p w:rsidR="009A405F" w:rsidRPr="009A405F" w:rsidRDefault="009A405F" w:rsidP="009A405F">
      <w:pPr>
        <w:numPr>
          <w:ilvl w:val="0"/>
          <w:numId w:val="5"/>
        </w:numPr>
        <w:shd w:val="clear" w:color="auto" w:fill="FFFFFF"/>
        <w:spacing w:before="100" w:beforeAutospacing="1" w:after="24" w:line="240" w:lineRule="auto"/>
        <w:ind w:left="384"/>
        <w:rPr>
          <w:rFonts w:ascii="Arial" w:eastAsia="Times New Roman" w:hAnsi="Arial" w:cs="Arial"/>
          <w:color w:val="202122"/>
          <w:sz w:val="28"/>
          <w:szCs w:val="14"/>
        </w:rPr>
      </w:pPr>
      <w:r w:rsidRPr="009A405F">
        <w:rPr>
          <w:rFonts w:ascii="Arial" w:eastAsia="Times New Roman" w:hAnsi="Arial" w:cs="Arial"/>
          <w:color w:val="202122"/>
          <w:sz w:val="28"/>
          <w:szCs w:val="14"/>
        </w:rPr>
        <w:t>Chase Auditorium (formerly Bank One Auditorium) inside of </w:t>
      </w:r>
      <w:hyperlink r:id="rId97" w:tooltip="Chase Tower (Chicago)" w:history="1">
        <w:r w:rsidRPr="009A405F">
          <w:rPr>
            <w:rFonts w:ascii="Arial" w:eastAsia="Times New Roman" w:hAnsi="Arial" w:cs="Arial"/>
            <w:color w:val="0645AD"/>
            <w:sz w:val="28"/>
          </w:rPr>
          <w:t>Chase Tower (Chicago)</w:t>
        </w:r>
      </w:hyperlink>
      <w:r w:rsidRPr="009A405F">
        <w:rPr>
          <w:rFonts w:ascii="Arial" w:eastAsia="Times New Roman" w:hAnsi="Arial" w:cs="Arial"/>
          <w:color w:val="202122"/>
          <w:sz w:val="28"/>
          <w:szCs w:val="14"/>
        </w:rPr>
        <w:t> (formerly Bank One Tower)</w:t>
      </w:r>
    </w:p>
    <w:p w:rsidR="009A405F" w:rsidRPr="009A405F" w:rsidRDefault="009A405F" w:rsidP="009A405F">
      <w:pPr>
        <w:numPr>
          <w:ilvl w:val="0"/>
          <w:numId w:val="5"/>
        </w:numPr>
        <w:shd w:val="clear" w:color="auto" w:fill="FFFFFF"/>
        <w:spacing w:before="100" w:beforeAutospacing="1" w:after="24" w:line="240" w:lineRule="auto"/>
        <w:ind w:left="384"/>
        <w:rPr>
          <w:rFonts w:ascii="Arial" w:eastAsia="Times New Roman" w:hAnsi="Arial" w:cs="Arial"/>
          <w:color w:val="202122"/>
          <w:sz w:val="28"/>
          <w:szCs w:val="14"/>
        </w:rPr>
      </w:pPr>
      <w:r w:rsidRPr="009A405F">
        <w:rPr>
          <w:rFonts w:ascii="Arial" w:eastAsia="Times New Roman" w:hAnsi="Arial" w:cs="Arial"/>
          <w:color w:val="202122"/>
          <w:sz w:val="28"/>
          <w:szCs w:val="14"/>
        </w:rPr>
        <w:t>The </w:t>
      </w:r>
      <w:hyperlink r:id="rId98" w:tooltip="JPMorgan Chase Corporate Challenge" w:history="1">
        <w:r w:rsidRPr="009A405F">
          <w:rPr>
            <w:rFonts w:ascii="Arial" w:eastAsia="Times New Roman" w:hAnsi="Arial" w:cs="Arial"/>
            <w:color w:val="0645AD"/>
            <w:sz w:val="28"/>
          </w:rPr>
          <w:t>JPMorgan Chase Corporate Challenge</w:t>
        </w:r>
      </w:hyperlink>
      <w:r w:rsidRPr="009A405F">
        <w:rPr>
          <w:rFonts w:ascii="Arial" w:eastAsia="Times New Roman" w:hAnsi="Arial" w:cs="Arial"/>
          <w:color w:val="202122"/>
          <w:sz w:val="28"/>
          <w:szCs w:val="14"/>
        </w:rPr>
        <w:t>, owned and operated by JPMorgan Chase, is the largest corporate road racing series in the world with over 200,000 participants in 12 cities in six countries on five continents. It has been held annually since 1977 and the races range in size from 4,000 entrants to more than 60,000.</w:t>
      </w:r>
    </w:p>
    <w:p w:rsidR="009A405F" w:rsidRPr="009A405F" w:rsidRDefault="009A405F" w:rsidP="009A405F">
      <w:pPr>
        <w:numPr>
          <w:ilvl w:val="0"/>
          <w:numId w:val="5"/>
        </w:numPr>
        <w:shd w:val="clear" w:color="auto" w:fill="FFFFFF"/>
        <w:spacing w:before="100" w:beforeAutospacing="1" w:after="24" w:line="240" w:lineRule="auto"/>
        <w:ind w:left="384"/>
        <w:rPr>
          <w:rFonts w:ascii="Arial" w:eastAsia="Times New Roman" w:hAnsi="Arial" w:cs="Arial"/>
          <w:color w:val="202122"/>
          <w:sz w:val="28"/>
          <w:szCs w:val="14"/>
        </w:rPr>
      </w:pPr>
      <w:r w:rsidRPr="009A405F">
        <w:rPr>
          <w:rFonts w:ascii="Arial" w:eastAsia="Times New Roman" w:hAnsi="Arial" w:cs="Arial"/>
          <w:color w:val="202122"/>
          <w:sz w:val="28"/>
          <w:szCs w:val="14"/>
        </w:rPr>
        <w:t>JPMorgan Chase is the official sponsor of the </w:t>
      </w:r>
      <w:hyperlink r:id="rId99" w:tooltip="US Open (tennis)" w:history="1">
        <w:r w:rsidRPr="009A405F">
          <w:rPr>
            <w:rFonts w:ascii="Arial" w:eastAsia="Times New Roman" w:hAnsi="Arial" w:cs="Arial"/>
            <w:color w:val="0645AD"/>
            <w:sz w:val="28"/>
          </w:rPr>
          <w:t>US Open</w:t>
        </w:r>
      </w:hyperlink>
    </w:p>
    <w:p w:rsidR="009A405F" w:rsidRPr="009A405F" w:rsidRDefault="009A405F" w:rsidP="009A405F">
      <w:pPr>
        <w:numPr>
          <w:ilvl w:val="0"/>
          <w:numId w:val="5"/>
        </w:numPr>
        <w:shd w:val="clear" w:color="auto" w:fill="FFFFFF"/>
        <w:spacing w:before="100" w:beforeAutospacing="1" w:after="24" w:line="240" w:lineRule="auto"/>
        <w:ind w:left="384"/>
        <w:rPr>
          <w:rFonts w:ascii="Arial" w:eastAsia="Times New Roman" w:hAnsi="Arial" w:cs="Arial"/>
          <w:color w:val="202122"/>
          <w:sz w:val="28"/>
          <w:szCs w:val="14"/>
        </w:rPr>
      </w:pPr>
      <w:hyperlink r:id="rId100" w:tooltip="J.P. Morgan Asset Management" w:history="1">
        <w:r w:rsidRPr="009A405F">
          <w:rPr>
            <w:rFonts w:ascii="Arial" w:eastAsia="Times New Roman" w:hAnsi="Arial" w:cs="Arial"/>
            <w:color w:val="0645AD"/>
            <w:sz w:val="28"/>
          </w:rPr>
          <w:t>J.P. Morgan Asset Management</w:t>
        </w:r>
      </w:hyperlink>
      <w:r w:rsidRPr="009A405F">
        <w:rPr>
          <w:rFonts w:ascii="Arial" w:eastAsia="Times New Roman" w:hAnsi="Arial" w:cs="Arial"/>
          <w:color w:val="202122"/>
          <w:sz w:val="28"/>
          <w:szCs w:val="14"/>
        </w:rPr>
        <w:t> is the Principal Sponsor of the </w:t>
      </w:r>
      <w:hyperlink r:id="rId101" w:tooltip="England" w:history="1">
        <w:r w:rsidRPr="009A405F">
          <w:rPr>
            <w:rFonts w:ascii="Arial" w:eastAsia="Times New Roman" w:hAnsi="Arial" w:cs="Arial"/>
            <w:color w:val="0645AD"/>
            <w:sz w:val="28"/>
          </w:rPr>
          <w:t>English</w:t>
        </w:r>
      </w:hyperlink>
      <w:r w:rsidRPr="009A405F">
        <w:rPr>
          <w:rFonts w:ascii="Arial" w:eastAsia="Times New Roman" w:hAnsi="Arial" w:cs="Arial"/>
          <w:color w:val="202122"/>
          <w:sz w:val="28"/>
          <w:szCs w:val="14"/>
        </w:rPr>
        <w:t> Premiership Rugby 7s Series</w:t>
      </w:r>
    </w:p>
    <w:p w:rsidR="009A405F" w:rsidRPr="009A405F" w:rsidRDefault="009A405F" w:rsidP="009A405F">
      <w:pPr>
        <w:numPr>
          <w:ilvl w:val="0"/>
          <w:numId w:val="5"/>
        </w:numPr>
        <w:shd w:val="clear" w:color="auto" w:fill="FFFFFF"/>
        <w:spacing w:before="100" w:beforeAutospacing="1" w:after="24" w:line="240" w:lineRule="auto"/>
        <w:ind w:left="384"/>
        <w:rPr>
          <w:rFonts w:ascii="Arial" w:eastAsia="Times New Roman" w:hAnsi="Arial" w:cs="Arial"/>
          <w:color w:val="202122"/>
          <w:sz w:val="28"/>
          <w:szCs w:val="14"/>
        </w:rPr>
      </w:pPr>
      <w:r w:rsidRPr="009A405F">
        <w:rPr>
          <w:rFonts w:ascii="Arial" w:eastAsia="Times New Roman" w:hAnsi="Arial" w:cs="Arial"/>
          <w:color w:val="202122"/>
          <w:sz w:val="28"/>
          <w:szCs w:val="14"/>
        </w:rPr>
        <w:t>Sponsor of the </w:t>
      </w:r>
      <w:hyperlink r:id="rId102" w:tooltip="Jessamine Stakes" w:history="1">
        <w:r w:rsidRPr="009A405F">
          <w:rPr>
            <w:rFonts w:ascii="Arial" w:eastAsia="Times New Roman" w:hAnsi="Arial" w:cs="Arial"/>
            <w:color w:val="0645AD"/>
            <w:sz w:val="28"/>
          </w:rPr>
          <w:t>Jessamine Stakes</w:t>
        </w:r>
      </w:hyperlink>
      <w:r w:rsidRPr="009A405F">
        <w:rPr>
          <w:rFonts w:ascii="Arial" w:eastAsia="Times New Roman" w:hAnsi="Arial" w:cs="Arial"/>
          <w:color w:val="202122"/>
          <w:sz w:val="28"/>
          <w:szCs w:val="14"/>
        </w:rPr>
        <w:t>, a two-year-old fillies horse race at </w:t>
      </w:r>
      <w:proofErr w:type="spellStart"/>
      <w:r w:rsidRPr="009A405F">
        <w:rPr>
          <w:rFonts w:ascii="Arial" w:eastAsia="Times New Roman" w:hAnsi="Arial" w:cs="Arial"/>
          <w:color w:val="202122"/>
          <w:sz w:val="28"/>
          <w:szCs w:val="14"/>
        </w:rPr>
        <w:fldChar w:fldCharType="begin"/>
      </w:r>
      <w:r w:rsidRPr="009A405F">
        <w:rPr>
          <w:rFonts w:ascii="Arial" w:eastAsia="Times New Roman" w:hAnsi="Arial" w:cs="Arial"/>
          <w:color w:val="202122"/>
          <w:sz w:val="28"/>
          <w:szCs w:val="14"/>
        </w:rPr>
        <w:instrText xml:space="preserve"> HYPERLINK "https://en.wikipedia.org/wiki/Keeneland" \o "Keeneland" </w:instrText>
      </w:r>
      <w:r w:rsidRPr="009A405F">
        <w:rPr>
          <w:rFonts w:ascii="Arial" w:eastAsia="Times New Roman" w:hAnsi="Arial" w:cs="Arial"/>
          <w:color w:val="202122"/>
          <w:sz w:val="28"/>
          <w:szCs w:val="14"/>
        </w:rPr>
        <w:fldChar w:fldCharType="separate"/>
      </w:r>
      <w:r w:rsidRPr="009A405F">
        <w:rPr>
          <w:rFonts w:ascii="Arial" w:eastAsia="Times New Roman" w:hAnsi="Arial" w:cs="Arial"/>
          <w:color w:val="0645AD"/>
          <w:sz w:val="28"/>
        </w:rPr>
        <w:t>Keeneland</w:t>
      </w:r>
      <w:proofErr w:type="spellEnd"/>
      <w:r w:rsidRPr="009A405F">
        <w:rPr>
          <w:rFonts w:ascii="Arial" w:eastAsia="Times New Roman" w:hAnsi="Arial" w:cs="Arial"/>
          <w:color w:val="202122"/>
          <w:sz w:val="28"/>
          <w:szCs w:val="14"/>
        </w:rPr>
        <w:fldChar w:fldCharType="end"/>
      </w:r>
      <w:r w:rsidRPr="009A405F">
        <w:rPr>
          <w:rFonts w:ascii="Arial" w:eastAsia="Times New Roman" w:hAnsi="Arial" w:cs="Arial"/>
          <w:color w:val="202122"/>
          <w:sz w:val="28"/>
          <w:szCs w:val="14"/>
        </w:rPr>
        <w:t>, </w:t>
      </w:r>
      <w:hyperlink r:id="rId103" w:tooltip="Lexington, Kentucky" w:history="1">
        <w:r w:rsidRPr="009A405F">
          <w:rPr>
            <w:rFonts w:ascii="Arial" w:eastAsia="Times New Roman" w:hAnsi="Arial" w:cs="Arial"/>
            <w:color w:val="0645AD"/>
            <w:sz w:val="28"/>
          </w:rPr>
          <w:t>Lexington</w:t>
        </w:r>
      </w:hyperlink>
      <w:r w:rsidRPr="009A405F">
        <w:rPr>
          <w:rFonts w:ascii="Arial" w:eastAsia="Times New Roman" w:hAnsi="Arial" w:cs="Arial"/>
          <w:color w:val="202122"/>
          <w:sz w:val="28"/>
          <w:szCs w:val="14"/>
        </w:rPr>
        <w:t>, </w:t>
      </w:r>
      <w:hyperlink r:id="rId104" w:tooltip="Kentucky" w:history="1">
        <w:r w:rsidRPr="009A405F">
          <w:rPr>
            <w:rFonts w:ascii="Arial" w:eastAsia="Times New Roman" w:hAnsi="Arial" w:cs="Arial"/>
            <w:color w:val="0645AD"/>
            <w:sz w:val="28"/>
          </w:rPr>
          <w:t>Kentucky</w:t>
        </w:r>
      </w:hyperlink>
      <w:r w:rsidRPr="009A405F">
        <w:rPr>
          <w:rFonts w:ascii="Arial" w:eastAsia="Times New Roman" w:hAnsi="Arial" w:cs="Arial"/>
          <w:color w:val="202122"/>
          <w:sz w:val="28"/>
          <w:szCs w:val="14"/>
        </w:rPr>
        <w:t> since 2006.</w:t>
      </w:r>
    </w:p>
    <w:p w:rsidR="009A405F" w:rsidRPr="009A405F" w:rsidRDefault="009A405F" w:rsidP="00FF6D0C">
      <w:pPr>
        <w:rPr>
          <w:color w:val="000000" w:themeColor="text1"/>
          <w:sz w:val="52"/>
        </w:rPr>
      </w:pPr>
    </w:p>
    <w:p w:rsidR="00FF6D0C" w:rsidRDefault="00FF6D0C" w:rsidP="00FF6D0C">
      <w:pPr>
        <w:rPr>
          <w:color w:val="000000" w:themeColor="text1"/>
          <w:sz w:val="28"/>
        </w:rPr>
      </w:pPr>
    </w:p>
    <w:p w:rsidR="00FF6D0C" w:rsidRDefault="00FF6D0C" w:rsidP="00FF6D0C">
      <w:pPr>
        <w:rPr>
          <w:color w:val="000000" w:themeColor="text1"/>
          <w:sz w:val="28"/>
        </w:rPr>
      </w:pPr>
    </w:p>
    <w:p w:rsidR="00FF6D0C" w:rsidRDefault="00FF6D0C">
      <w:pPr>
        <w:rPr>
          <w:color w:val="000000" w:themeColor="text1"/>
          <w:sz w:val="28"/>
        </w:rPr>
      </w:pPr>
    </w:p>
    <w:p w:rsidR="00FF6D0C" w:rsidRDefault="00FF6D0C">
      <w:pPr>
        <w:rPr>
          <w:color w:val="000000" w:themeColor="text1"/>
          <w:sz w:val="28"/>
        </w:rPr>
      </w:pPr>
    </w:p>
    <w:p w:rsidR="00FF6D0C" w:rsidRDefault="00FF6D0C">
      <w:pPr>
        <w:rPr>
          <w:color w:val="000000" w:themeColor="text1"/>
          <w:sz w:val="28"/>
        </w:rPr>
      </w:pPr>
    </w:p>
    <w:p w:rsidR="00FF6D0C" w:rsidRDefault="00FF6D0C">
      <w:pPr>
        <w:rPr>
          <w:color w:val="000000" w:themeColor="text1"/>
          <w:sz w:val="28"/>
        </w:rPr>
      </w:pPr>
    </w:p>
    <w:p w:rsidR="00FF6D0C" w:rsidRDefault="00FF6D0C">
      <w:pPr>
        <w:rPr>
          <w:color w:val="000000" w:themeColor="text1"/>
          <w:sz w:val="28"/>
        </w:rPr>
      </w:pPr>
    </w:p>
    <w:p w:rsidR="009A405F" w:rsidRDefault="009A405F" w:rsidP="009A405F">
      <w:pPr>
        <w:pStyle w:val="Heading2"/>
        <w:pBdr>
          <w:bottom w:val="single" w:sz="4"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lastRenderedPageBreak/>
        <w:t>Leadership</w:t>
      </w:r>
    </w:p>
    <w:p w:rsidR="009A405F" w:rsidRDefault="009A405F">
      <w:pPr>
        <w:rPr>
          <w:color w:val="000000" w:themeColor="text1"/>
          <w:sz w:val="28"/>
        </w:rPr>
      </w:pPr>
    </w:p>
    <w:p w:rsidR="00FF6D0C" w:rsidRDefault="009A405F">
      <w:pPr>
        <w:rPr>
          <w:color w:val="000000" w:themeColor="text1"/>
          <w:sz w:val="28"/>
        </w:rPr>
      </w:pPr>
      <w:r w:rsidRPr="009A405F">
        <w:rPr>
          <w:color w:val="000000" w:themeColor="text1"/>
          <w:sz w:val="28"/>
        </w:rPr>
        <w:t xml:space="preserve">JPMorgan Chase's chairman and CEO is Jamie </w:t>
      </w:r>
      <w:proofErr w:type="spellStart"/>
      <w:r w:rsidRPr="009A405F">
        <w:rPr>
          <w:color w:val="000000" w:themeColor="text1"/>
          <w:sz w:val="28"/>
        </w:rPr>
        <w:t>Dimon</w:t>
      </w:r>
      <w:proofErr w:type="spellEnd"/>
      <w:r w:rsidRPr="009A405F">
        <w:rPr>
          <w:color w:val="000000" w:themeColor="text1"/>
          <w:sz w:val="28"/>
        </w:rPr>
        <w:t xml:space="preserve">. The purchase of Bank One in 2004 was part of a plan to lure </w:t>
      </w:r>
      <w:proofErr w:type="spellStart"/>
      <w:r w:rsidRPr="009A405F">
        <w:rPr>
          <w:color w:val="000000" w:themeColor="text1"/>
          <w:sz w:val="28"/>
        </w:rPr>
        <w:t>Dimon</w:t>
      </w:r>
      <w:proofErr w:type="spellEnd"/>
      <w:r w:rsidRPr="009A405F">
        <w:rPr>
          <w:color w:val="000000" w:themeColor="text1"/>
          <w:sz w:val="28"/>
        </w:rPr>
        <w:t xml:space="preserve"> to JPMorgan Chase. He took over as CEO at the end of 2005. [185] </w:t>
      </w:r>
      <w:proofErr w:type="spellStart"/>
      <w:r w:rsidRPr="009A405F">
        <w:rPr>
          <w:color w:val="000000" w:themeColor="text1"/>
          <w:sz w:val="28"/>
        </w:rPr>
        <w:t>Dimon</w:t>
      </w:r>
      <w:proofErr w:type="spellEnd"/>
      <w:r w:rsidRPr="009A405F">
        <w:rPr>
          <w:color w:val="000000" w:themeColor="text1"/>
          <w:sz w:val="28"/>
        </w:rPr>
        <w:t xml:space="preserve"> has received praise for his efforts during the financial crisis of 2008. [186] </w:t>
      </w:r>
      <w:proofErr w:type="gramStart"/>
      <w:r w:rsidRPr="009A405F">
        <w:rPr>
          <w:color w:val="000000" w:themeColor="text1"/>
          <w:sz w:val="28"/>
        </w:rPr>
        <w:t>During</w:t>
      </w:r>
      <w:proofErr w:type="gramEnd"/>
      <w:r w:rsidRPr="009A405F">
        <w:rPr>
          <w:color w:val="000000" w:themeColor="text1"/>
          <w:sz w:val="28"/>
        </w:rPr>
        <w:t xml:space="preserve"> the financial crisis, JPMorgan Chase rescued two failing banks under his supervision. [187] Despite the fact that </w:t>
      </w:r>
      <w:proofErr w:type="spellStart"/>
      <w:r w:rsidRPr="009A405F">
        <w:rPr>
          <w:color w:val="000000" w:themeColor="text1"/>
          <w:sz w:val="28"/>
        </w:rPr>
        <w:t>Dimon</w:t>
      </w:r>
      <w:proofErr w:type="spellEnd"/>
      <w:r w:rsidRPr="009A405F">
        <w:rPr>
          <w:color w:val="000000" w:themeColor="text1"/>
          <w:sz w:val="28"/>
        </w:rPr>
        <w:t xml:space="preserve"> has repeatedly attacked the US government's harsh immigration policy, his company owns $1.6 million in Sterling Construction as of July 2018. (</w:t>
      </w:r>
      <w:proofErr w:type="gramStart"/>
      <w:r w:rsidRPr="009A405F">
        <w:rPr>
          <w:color w:val="000000" w:themeColor="text1"/>
          <w:sz w:val="28"/>
        </w:rPr>
        <w:t>the</w:t>
      </w:r>
      <w:proofErr w:type="gramEnd"/>
      <w:r w:rsidRPr="009A405F">
        <w:rPr>
          <w:color w:val="000000" w:themeColor="text1"/>
          <w:sz w:val="28"/>
        </w:rPr>
        <w:t xml:space="preserve"> company contracted to build a massive wall on the U.S.-Mexico border)</w:t>
      </w:r>
    </w:p>
    <w:p w:rsidR="009A405F" w:rsidRDefault="009A405F">
      <w:pPr>
        <w:rPr>
          <w:color w:val="000000" w:themeColor="text1"/>
          <w:sz w:val="28"/>
        </w:rPr>
      </w:pPr>
    </w:p>
    <w:p w:rsidR="009A405F" w:rsidRDefault="009A405F" w:rsidP="009A405F">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Board of directors</w:t>
      </w:r>
    </w:p>
    <w:p w:rsidR="009A405F" w:rsidRPr="009A405F" w:rsidRDefault="009A405F" w:rsidP="009A405F">
      <w:pPr>
        <w:pStyle w:val="NormalWeb"/>
        <w:shd w:val="clear" w:color="auto" w:fill="FFFFFF"/>
        <w:spacing w:before="120" w:beforeAutospacing="0" w:after="120" w:afterAutospacing="0"/>
        <w:rPr>
          <w:rFonts w:ascii="Arial" w:hAnsi="Arial" w:cs="Arial"/>
          <w:color w:val="202122"/>
          <w:sz w:val="18"/>
          <w:szCs w:val="14"/>
        </w:rPr>
      </w:pPr>
      <w:r w:rsidRPr="009A405F">
        <w:rPr>
          <w:rFonts w:ascii="Arial" w:hAnsi="Arial" w:cs="Arial"/>
          <w:color w:val="202122"/>
          <w:sz w:val="18"/>
          <w:szCs w:val="14"/>
        </w:rPr>
        <w:t>As of April 1, 2021:</w:t>
      </w:r>
    </w:p>
    <w:p w:rsidR="009A405F" w:rsidRPr="009A405F" w:rsidRDefault="009A405F" w:rsidP="009A405F">
      <w:pPr>
        <w:numPr>
          <w:ilvl w:val="0"/>
          <w:numId w:val="6"/>
        </w:numPr>
        <w:shd w:val="clear" w:color="auto" w:fill="FFFFFF"/>
        <w:spacing w:before="100" w:beforeAutospacing="1" w:after="24" w:line="240" w:lineRule="auto"/>
        <w:ind w:left="384"/>
        <w:rPr>
          <w:rFonts w:ascii="Arial" w:hAnsi="Arial" w:cs="Arial"/>
          <w:color w:val="202122"/>
          <w:sz w:val="18"/>
          <w:szCs w:val="14"/>
        </w:rPr>
      </w:pPr>
      <w:hyperlink r:id="rId105" w:tooltip="Jamie Dimon" w:history="1">
        <w:r w:rsidRPr="009A405F">
          <w:rPr>
            <w:rStyle w:val="Hyperlink"/>
            <w:rFonts w:ascii="Arial" w:hAnsi="Arial" w:cs="Arial"/>
            <w:color w:val="0645AD"/>
            <w:sz w:val="18"/>
            <w:szCs w:val="14"/>
          </w:rPr>
          <w:t xml:space="preserve">Jamie </w:t>
        </w:r>
        <w:proofErr w:type="spellStart"/>
        <w:r w:rsidRPr="009A405F">
          <w:rPr>
            <w:rStyle w:val="Hyperlink"/>
            <w:rFonts w:ascii="Arial" w:hAnsi="Arial" w:cs="Arial"/>
            <w:color w:val="0645AD"/>
            <w:sz w:val="18"/>
            <w:szCs w:val="14"/>
          </w:rPr>
          <w:t>Dimon</w:t>
        </w:r>
        <w:proofErr w:type="spellEnd"/>
      </w:hyperlink>
      <w:r w:rsidRPr="009A405F">
        <w:rPr>
          <w:rFonts w:ascii="Arial" w:hAnsi="Arial" w:cs="Arial"/>
          <w:color w:val="202122"/>
          <w:sz w:val="18"/>
          <w:szCs w:val="14"/>
        </w:rPr>
        <w:t>, chairman and CEO of JPMorgan Chase</w:t>
      </w:r>
    </w:p>
    <w:p w:rsidR="009A405F" w:rsidRPr="009A405F" w:rsidRDefault="009A405F" w:rsidP="009A405F">
      <w:pPr>
        <w:numPr>
          <w:ilvl w:val="0"/>
          <w:numId w:val="6"/>
        </w:numPr>
        <w:shd w:val="clear" w:color="auto" w:fill="FFFFFF"/>
        <w:spacing w:before="100" w:beforeAutospacing="1" w:after="24" w:line="240" w:lineRule="auto"/>
        <w:ind w:left="384"/>
        <w:rPr>
          <w:rFonts w:ascii="Arial" w:hAnsi="Arial" w:cs="Arial"/>
          <w:color w:val="202122"/>
          <w:sz w:val="18"/>
          <w:szCs w:val="14"/>
        </w:rPr>
      </w:pPr>
      <w:r w:rsidRPr="009A405F">
        <w:rPr>
          <w:rFonts w:ascii="Arial" w:hAnsi="Arial" w:cs="Arial"/>
          <w:color w:val="202122"/>
          <w:sz w:val="18"/>
          <w:szCs w:val="14"/>
        </w:rPr>
        <w:t xml:space="preserve">Linda </w:t>
      </w:r>
      <w:proofErr w:type="spellStart"/>
      <w:r w:rsidRPr="009A405F">
        <w:rPr>
          <w:rFonts w:ascii="Arial" w:hAnsi="Arial" w:cs="Arial"/>
          <w:color w:val="202122"/>
          <w:sz w:val="18"/>
          <w:szCs w:val="14"/>
        </w:rPr>
        <w:t>Bammann</w:t>
      </w:r>
      <w:proofErr w:type="spellEnd"/>
      <w:r w:rsidRPr="009A405F">
        <w:rPr>
          <w:rFonts w:ascii="Arial" w:hAnsi="Arial" w:cs="Arial"/>
          <w:color w:val="202122"/>
          <w:sz w:val="18"/>
          <w:szCs w:val="14"/>
        </w:rPr>
        <w:t>, former JPMorgan and </w:t>
      </w:r>
      <w:hyperlink r:id="rId106" w:tooltip="Bank One" w:history="1">
        <w:r w:rsidRPr="009A405F">
          <w:rPr>
            <w:rStyle w:val="Hyperlink"/>
            <w:rFonts w:ascii="Arial" w:hAnsi="Arial" w:cs="Arial"/>
            <w:color w:val="0645AD"/>
            <w:sz w:val="18"/>
            <w:szCs w:val="14"/>
          </w:rPr>
          <w:t>Bank One</w:t>
        </w:r>
      </w:hyperlink>
      <w:r w:rsidRPr="009A405F">
        <w:rPr>
          <w:rFonts w:ascii="Arial" w:hAnsi="Arial" w:cs="Arial"/>
          <w:color w:val="202122"/>
          <w:sz w:val="18"/>
          <w:szCs w:val="14"/>
        </w:rPr>
        <w:t> executive</w:t>
      </w:r>
    </w:p>
    <w:p w:rsidR="009A405F" w:rsidRPr="009A405F" w:rsidRDefault="009A405F" w:rsidP="009A405F">
      <w:pPr>
        <w:numPr>
          <w:ilvl w:val="0"/>
          <w:numId w:val="6"/>
        </w:numPr>
        <w:shd w:val="clear" w:color="auto" w:fill="FFFFFF"/>
        <w:spacing w:before="100" w:beforeAutospacing="1" w:after="24" w:line="240" w:lineRule="auto"/>
        <w:ind w:left="384"/>
        <w:rPr>
          <w:rFonts w:ascii="Arial" w:hAnsi="Arial" w:cs="Arial"/>
          <w:color w:val="202122"/>
          <w:sz w:val="18"/>
          <w:szCs w:val="14"/>
        </w:rPr>
      </w:pPr>
      <w:hyperlink r:id="rId107" w:tooltip="Steve Burke (businessman)" w:history="1">
        <w:r w:rsidRPr="009A405F">
          <w:rPr>
            <w:rStyle w:val="Hyperlink"/>
            <w:rFonts w:ascii="Arial" w:hAnsi="Arial" w:cs="Arial"/>
            <w:color w:val="0645AD"/>
            <w:sz w:val="18"/>
            <w:szCs w:val="14"/>
          </w:rPr>
          <w:t>Steve Burke</w:t>
        </w:r>
      </w:hyperlink>
      <w:r w:rsidRPr="009A405F">
        <w:rPr>
          <w:rFonts w:ascii="Arial" w:hAnsi="Arial" w:cs="Arial"/>
          <w:color w:val="202122"/>
          <w:sz w:val="18"/>
          <w:szCs w:val="14"/>
        </w:rPr>
        <w:t>, chairman of </w:t>
      </w:r>
      <w:proofErr w:type="spellStart"/>
      <w:r w:rsidRPr="009A405F">
        <w:rPr>
          <w:rFonts w:ascii="Arial" w:hAnsi="Arial" w:cs="Arial"/>
          <w:color w:val="202122"/>
          <w:sz w:val="18"/>
          <w:szCs w:val="14"/>
        </w:rPr>
        <w:fldChar w:fldCharType="begin"/>
      </w:r>
      <w:r w:rsidRPr="009A405F">
        <w:rPr>
          <w:rFonts w:ascii="Arial" w:hAnsi="Arial" w:cs="Arial"/>
          <w:color w:val="202122"/>
          <w:sz w:val="18"/>
          <w:szCs w:val="14"/>
        </w:rPr>
        <w:instrText xml:space="preserve"> HYPERLINK "https://en.wikipedia.org/wiki/NBCUniversal" \o "NBCUniversal" </w:instrText>
      </w:r>
      <w:r w:rsidRPr="009A405F">
        <w:rPr>
          <w:rFonts w:ascii="Arial" w:hAnsi="Arial" w:cs="Arial"/>
          <w:color w:val="202122"/>
          <w:sz w:val="18"/>
          <w:szCs w:val="14"/>
        </w:rPr>
        <w:fldChar w:fldCharType="separate"/>
      </w:r>
      <w:r w:rsidRPr="009A405F">
        <w:rPr>
          <w:rStyle w:val="Hyperlink"/>
          <w:rFonts w:ascii="Arial" w:hAnsi="Arial" w:cs="Arial"/>
          <w:color w:val="0645AD"/>
          <w:sz w:val="18"/>
          <w:szCs w:val="14"/>
        </w:rPr>
        <w:t>NBCUniversal</w:t>
      </w:r>
      <w:proofErr w:type="spellEnd"/>
      <w:r w:rsidRPr="009A405F">
        <w:rPr>
          <w:rFonts w:ascii="Arial" w:hAnsi="Arial" w:cs="Arial"/>
          <w:color w:val="202122"/>
          <w:sz w:val="18"/>
          <w:szCs w:val="14"/>
        </w:rPr>
        <w:fldChar w:fldCharType="end"/>
      </w:r>
    </w:p>
    <w:p w:rsidR="009A405F" w:rsidRPr="009A405F" w:rsidRDefault="009A405F" w:rsidP="009A405F">
      <w:pPr>
        <w:numPr>
          <w:ilvl w:val="0"/>
          <w:numId w:val="6"/>
        </w:numPr>
        <w:shd w:val="clear" w:color="auto" w:fill="FFFFFF"/>
        <w:spacing w:before="100" w:beforeAutospacing="1" w:after="24" w:line="240" w:lineRule="auto"/>
        <w:ind w:left="384"/>
        <w:rPr>
          <w:rFonts w:ascii="Arial" w:hAnsi="Arial" w:cs="Arial"/>
          <w:color w:val="202122"/>
          <w:sz w:val="18"/>
          <w:szCs w:val="14"/>
        </w:rPr>
      </w:pPr>
      <w:hyperlink r:id="rId108" w:tooltip="Todd Combs" w:history="1">
        <w:r w:rsidRPr="009A405F">
          <w:rPr>
            <w:rStyle w:val="Hyperlink"/>
            <w:rFonts w:ascii="Arial" w:hAnsi="Arial" w:cs="Arial"/>
            <w:color w:val="0645AD"/>
            <w:sz w:val="18"/>
            <w:szCs w:val="14"/>
          </w:rPr>
          <w:t>Todd Combs</w:t>
        </w:r>
      </w:hyperlink>
      <w:r w:rsidRPr="009A405F">
        <w:rPr>
          <w:rFonts w:ascii="Arial" w:hAnsi="Arial" w:cs="Arial"/>
          <w:color w:val="202122"/>
          <w:sz w:val="18"/>
          <w:szCs w:val="14"/>
        </w:rPr>
        <w:t>, CEO of GEICO</w:t>
      </w:r>
    </w:p>
    <w:p w:rsidR="009A405F" w:rsidRPr="009A405F" w:rsidRDefault="009A405F" w:rsidP="009A405F">
      <w:pPr>
        <w:numPr>
          <w:ilvl w:val="0"/>
          <w:numId w:val="6"/>
        </w:numPr>
        <w:shd w:val="clear" w:color="auto" w:fill="FFFFFF"/>
        <w:spacing w:before="100" w:beforeAutospacing="1" w:after="24" w:line="240" w:lineRule="auto"/>
        <w:ind w:left="384"/>
        <w:rPr>
          <w:rFonts w:ascii="Arial" w:hAnsi="Arial" w:cs="Arial"/>
          <w:color w:val="202122"/>
          <w:sz w:val="18"/>
          <w:szCs w:val="14"/>
        </w:rPr>
      </w:pPr>
      <w:hyperlink r:id="rId109" w:tooltip="James Crown" w:history="1">
        <w:r w:rsidRPr="009A405F">
          <w:rPr>
            <w:rStyle w:val="Hyperlink"/>
            <w:rFonts w:ascii="Arial" w:hAnsi="Arial" w:cs="Arial"/>
            <w:color w:val="0645AD"/>
            <w:sz w:val="18"/>
            <w:szCs w:val="14"/>
          </w:rPr>
          <w:t>James Crown</w:t>
        </w:r>
      </w:hyperlink>
      <w:r w:rsidRPr="009A405F">
        <w:rPr>
          <w:rFonts w:ascii="Arial" w:hAnsi="Arial" w:cs="Arial"/>
          <w:color w:val="202122"/>
          <w:sz w:val="18"/>
          <w:szCs w:val="14"/>
        </w:rPr>
        <w:t>, president of </w:t>
      </w:r>
      <w:hyperlink r:id="rId110" w:tooltip="Henry Crown and Company" w:history="1">
        <w:r w:rsidRPr="009A405F">
          <w:rPr>
            <w:rStyle w:val="Hyperlink"/>
            <w:rFonts w:ascii="Arial" w:hAnsi="Arial" w:cs="Arial"/>
            <w:color w:val="0645AD"/>
            <w:sz w:val="18"/>
            <w:szCs w:val="14"/>
          </w:rPr>
          <w:t>Henry Crown and Company</w:t>
        </w:r>
      </w:hyperlink>
    </w:p>
    <w:p w:rsidR="009A405F" w:rsidRPr="009A405F" w:rsidRDefault="009A405F" w:rsidP="009A405F">
      <w:pPr>
        <w:numPr>
          <w:ilvl w:val="0"/>
          <w:numId w:val="6"/>
        </w:numPr>
        <w:shd w:val="clear" w:color="auto" w:fill="FFFFFF"/>
        <w:spacing w:before="100" w:beforeAutospacing="1" w:after="24" w:line="240" w:lineRule="auto"/>
        <w:ind w:left="384"/>
        <w:rPr>
          <w:rFonts w:ascii="Arial" w:hAnsi="Arial" w:cs="Arial"/>
          <w:color w:val="202122"/>
          <w:sz w:val="18"/>
          <w:szCs w:val="14"/>
        </w:rPr>
      </w:pPr>
      <w:r w:rsidRPr="009A405F">
        <w:rPr>
          <w:rFonts w:ascii="Arial" w:hAnsi="Arial" w:cs="Arial"/>
          <w:color w:val="202122"/>
          <w:sz w:val="18"/>
          <w:szCs w:val="14"/>
        </w:rPr>
        <w:t>Timothy Flynn, former chairman and CEO of </w:t>
      </w:r>
      <w:hyperlink r:id="rId111" w:tooltip="KPMG" w:history="1">
        <w:r w:rsidRPr="009A405F">
          <w:rPr>
            <w:rStyle w:val="Hyperlink"/>
            <w:rFonts w:ascii="Arial" w:hAnsi="Arial" w:cs="Arial"/>
            <w:color w:val="0645AD"/>
            <w:sz w:val="18"/>
            <w:szCs w:val="14"/>
          </w:rPr>
          <w:t>KPMG</w:t>
        </w:r>
      </w:hyperlink>
    </w:p>
    <w:p w:rsidR="009A405F" w:rsidRPr="009A405F" w:rsidRDefault="009A405F" w:rsidP="009A405F">
      <w:pPr>
        <w:numPr>
          <w:ilvl w:val="0"/>
          <w:numId w:val="6"/>
        </w:numPr>
        <w:shd w:val="clear" w:color="auto" w:fill="FFFFFF"/>
        <w:spacing w:before="100" w:beforeAutospacing="1" w:after="24" w:line="240" w:lineRule="auto"/>
        <w:ind w:left="384"/>
        <w:rPr>
          <w:rFonts w:ascii="Arial" w:hAnsi="Arial" w:cs="Arial"/>
          <w:color w:val="202122"/>
          <w:sz w:val="18"/>
          <w:szCs w:val="14"/>
        </w:rPr>
      </w:pPr>
      <w:hyperlink r:id="rId112" w:tooltip="Mellody Hobson" w:history="1">
        <w:proofErr w:type="spellStart"/>
        <w:r w:rsidRPr="009A405F">
          <w:rPr>
            <w:rStyle w:val="Hyperlink"/>
            <w:rFonts w:ascii="Arial" w:hAnsi="Arial" w:cs="Arial"/>
            <w:color w:val="0645AD"/>
            <w:sz w:val="18"/>
            <w:szCs w:val="14"/>
          </w:rPr>
          <w:t>Mellody</w:t>
        </w:r>
        <w:proofErr w:type="spellEnd"/>
        <w:r w:rsidRPr="009A405F">
          <w:rPr>
            <w:rStyle w:val="Hyperlink"/>
            <w:rFonts w:ascii="Arial" w:hAnsi="Arial" w:cs="Arial"/>
            <w:color w:val="0645AD"/>
            <w:sz w:val="18"/>
            <w:szCs w:val="14"/>
          </w:rPr>
          <w:t xml:space="preserve"> Hobson</w:t>
        </w:r>
      </w:hyperlink>
      <w:r w:rsidRPr="009A405F">
        <w:rPr>
          <w:rFonts w:ascii="Arial" w:hAnsi="Arial" w:cs="Arial"/>
          <w:color w:val="202122"/>
          <w:sz w:val="18"/>
          <w:szCs w:val="14"/>
        </w:rPr>
        <w:t>, CEO of </w:t>
      </w:r>
      <w:hyperlink r:id="rId113" w:tooltip="Ariel Investments" w:history="1">
        <w:r w:rsidRPr="009A405F">
          <w:rPr>
            <w:rStyle w:val="Hyperlink"/>
            <w:rFonts w:ascii="Arial" w:hAnsi="Arial" w:cs="Arial"/>
            <w:color w:val="0645AD"/>
            <w:sz w:val="18"/>
            <w:szCs w:val="14"/>
          </w:rPr>
          <w:t>Ariel Investments</w:t>
        </w:r>
      </w:hyperlink>
    </w:p>
    <w:p w:rsidR="009A405F" w:rsidRPr="009A405F" w:rsidRDefault="009A405F" w:rsidP="009A405F">
      <w:pPr>
        <w:numPr>
          <w:ilvl w:val="0"/>
          <w:numId w:val="6"/>
        </w:numPr>
        <w:shd w:val="clear" w:color="auto" w:fill="FFFFFF"/>
        <w:spacing w:before="100" w:beforeAutospacing="1" w:after="24" w:line="240" w:lineRule="auto"/>
        <w:ind w:left="384"/>
        <w:rPr>
          <w:rFonts w:ascii="Arial" w:hAnsi="Arial" w:cs="Arial"/>
          <w:color w:val="202122"/>
          <w:sz w:val="18"/>
          <w:szCs w:val="14"/>
        </w:rPr>
      </w:pPr>
      <w:r w:rsidRPr="009A405F">
        <w:rPr>
          <w:rFonts w:ascii="Arial" w:hAnsi="Arial" w:cs="Arial"/>
          <w:color w:val="202122"/>
          <w:sz w:val="18"/>
          <w:szCs w:val="14"/>
        </w:rPr>
        <w:t>Michael Neal, CEO of </w:t>
      </w:r>
      <w:hyperlink r:id="rId114" w:tooltip="GE Capital" w:history="1">
        <w:r w:rsidRPr="009A405F">
          <w:rPr>
            <w:rStyle w:val="Hyperlink"/>
            <w:rFonts w:ascii="Arial" w:hAnsi="Arial" w:cs="Arial"/>
            <w:color w:val="0645AD"/>
            <w:sz w:val="18"/>
            <w:szCs w:val="14"/>
          </w:rPr>
          <w:t>GE Capital</w:t>
        </w:r>
      </w:hyperlink>
    </w:p>
    <w:p w:rsidR="009A405F" w:rsidRPr="009A405F" w:rsidRDefault="009A405F" w:rsidP="009A405F">
      <w:pPr>
        <w:numPr>
          <w:ilvl w:val="0"/>
          <w:numId w:val="6"/>
        </w:numPr>
        <w:shd w:val="clear" w:color="auto" w:fill="FFFFFF"/>
        <w:spacing w:before="100" w:beforeAutospacing="1" w:after="24" w:line="240" w:lineRule="auto"/>
        <w:ind w:left="384"/>
        <w:rPr>
          <w:rFonts w:ascii="Arial" w:hAnsi="Arial" w:cs="Arial"/>
          <w:color w:val="202122"/>
          <w:sz w:val="18"/>
          <w:szCs w:val="14"/>
        </w:rPr>
      </w:pPr>
      <w:hyperlink r:id="rId115" w:tooltip="Phebe Novakovic" w:history="1">
        <w:proofErr w:type="spellStart"/>
        <w:r w:rsidRPr="009A405F">
          <w:rPr>
            <w:rStyle w:val="Hyperlink"/>
            <w:rFonts w:ascii="Arial" w:hAnsi="Arial" w:cs="Arial"/>
            <w:color w:val="0645AD"/>
            <w:sz w:val="18"/>
            <w:szCs w:val="14"/>
          </w:rPr>
          <w:t>Phebe</w:t>
        </w:r>
        <w:proofErr w:type="spellEnd"/>
        <w:r w:rsidRPr="009A405F">
          <w:rPr>
            <w:rStyle w:val="Hyperlink"/>
            <w:rFonts w:ascii="Arial" w:hAnsi="Arial" w:cs="Arial"/>
            <w:color w:val="0645AD"/>
            <w:sz w:val="18"/>
            <w:szCs w:val="14"/>
          </w:rPr>
          <w:t xml:space="preserve"> </w:t>
        </w:r>
        <w:proofErr w:type="spellStart"/>
        <w:r w:rsidRPr="009A405F">
          <w:rPr>
            <w:rStyle w:val="Hyperlink"/>
            <w:rFonts w:ascii="Arial" w:hAnsi="Arial" w:cs="Arial"/>
            <w:color w:val="0645AD"/>
            <w:sz w:val="18"/>
            <w:szCs w:val="14"/>
          </w:rPr>
          <w:t>Novakovic</w:t>
        </w:r>
        <w:proofErr w:type="spellEnd"/>
      </w:hyperlink>
      <w:r w:rsidRPr="009A405F">
        <w:rPr>
          <w:rFonts w:ascii="Arial" w:hAnsi="Arial" w:cs="Arial"/>
          <w:color w:val="202122"/>
          <w:sz w:val="18"/>
          <w:szCs w:val="14"/>
        </w:rPr>
        <w:t>, chairwoman and CEO of </w:t>
      </w:r>
      <w:hyperlink r:id="rId116" w:tooltip="General Dynamics" w:history="1">
        <w:r w:rsidRPr="009A405F">
          <w:rPr>
            <w:rStyle w:val="Hyperlink"/>
            <w:rFonts w:ascii="Arial" w:hAnsi="Arial" w:cs="Arial"/>
            <w:color w:val="0645AD"/>
            <w:sz w:val="18"/>
            <w:szCs w:val="14"/>
          </w:rPr>
          <w:t>General Dynamics</w:t>
        </w:r>
      </w:hyperlink>
    </w:p>
    <w:p w:rsidR="009A405F" w:rsidRPr="009A405F" w:rsidRDefault="009A405F" w:rsidP="009A405F">
      <w:pPr>
        <w:numPr>
          <w:ilvl w:val="0"/>
          <w:numId w:val="6"/>
        </w:numPr>
        <w:shd w:val="clear" w:color="auto" w:fill="FFFFFF"/>
        <w:spacing w:before="100" w:beforeAutospacing="1" w:after="24" w:line="240" w:lineRule="auto"/>
        <w:ind w:left="384"/>
        <w:rPr>
          <w:rFonts w:ascii="Arial" w:hAnsi="Arial" w:cs="Arial"/>
          <w:color w:val="202122"/>
          <w:sz w:val="18"/>
          <w:szCs w:val="14"/>
        </w:rPr>
      </w:pPr>
      <w:hyperlink r:id="rId117" w:tooltip="Virginia Rometty" w:history="1">
        <w:r w:rsidRPr="009A405F">
          <w:rPr>
            <w:rStyle w:val="Hyperlink"/>
            <w:rFonts w:ascii="Arial" w:hAnsi="Arial" w:cs="Arial"/>
            <w:color w:val="0645AD"/>
            <w:sz w:val="18"/>
            <w:szCs w:val="14"/>
          </w:rPr>
          <w:t xml:space="preserve">Virginia </w:t>
        </w:r>
        <w:proofErr w:type="spellStart"/>
        <w:r w:rsidRPr="009A405F">
          <w:rPr>
            <w:rStyle w:val="Hyperlink"/>
            <w:rFonts w:ascii="Arial" w:hAnsi="Arial" w:cs="Arial"/>
            <w:color w:val="0645AD"/>
            <w:sz w:val="18"/>
            <w:szCs w:val="14"/>
          </w:rPr>
          <w:t>Rometty</w:t>
        </w:r>
        <w:proofErr w:type="spellEnd"/>
      </w:hyperlink>
      <w:r w:rsidRPr="009A405F">
        <w:rPr>
          <w:rFonts w:ascii="Arial" w:hAnsi="Arial" w:cs="Arial"/>
          <w:color w:val="202122"/>
          <w:sz w:val="18"/>
          <w:szCs w:val="14"/>
        </w:rPr>
        <w:t>, Executive Chairwoman of </w:t>
      </w:r>
      <w:hyperlink r:id="rId118" w:tooltip="IBM" w:history="1">
        <w:r w:rsidRPr="009A405F">
          <w:rPr>
            <w:rStyle w:val="Hyperlink"/>
            <w:rFonts w:ascii="Arial" w:hAnsi="Arial" w:cs="Arial"/>
            <w:color w:val="0645AD"/>
            <w:sz w:val="18"/>
            <w:szCs w:val="14"/>
          </w:rPr>
          <w:t>IBM</w:t>
        </w:r>
      </w:hyperlink>
      <w:r w:rsidRPr="009A405F">
        <w:rPr>
          <w:rFonts w:ascii="Arial" w:hAnsi="Arial" w:cs="Arial"/>
          <w:color w:val="202122"/>
          <w:sz w:val="18"/>
          <w:szCs w:val="14"/>
        </w:rPr>
        <w:t>, former chairwoman, President and CEO of </w:t>
      </w:r>
      <w:hyperlink r:id="rId119" w:tooltip="IBM" w:history="1">
        <w:r w:rsidRPr="009A405F">
          <w:rPr>
            <w:rStyle w:val="Hyperlink"/>
            <w:rFonts w:ascii="Arial" w:hAnsi="Arial" w:cs="Arial"/>
            <w:color w:val="0645AD"/>
            <w:sz w:val="18"/>
            <w:szCs w:val="14"/>
          </w:rPr>
          <w:t>IBM</w:t>
        </w:r>
      </w:hyperlink>
    </w:p>
    <w:p w:rsidR="009A405F" w:rsidRDefault="009A405F" w:rsidP="009A405F">
      <w:pPr>
        <w:pStyle w:val="Heading3"/>
        <w:shd w:val="clear" w:color="auto" w:fill="FFFFFF"/>
        <w:spacing w:before="72"/>
        <w:rPr>
          <w:rStyle w:val="mw-headline"/>
          <w:rFonts w:ascii="Arial" w:hAnsi="Arial" w:cs="Arial"/>
          <w:color w:val="000000"/>
          <w:sz w:val="36"/>
          <w:szCs w:val="29"/>
        </w:rPr>
      </w:pPr>
    </w:p>
    <w:p w:rsidR="009A405F" w:rsidRPr="009A405F" w:rsidRDefault="009A405F" w:rsidP="009A405F">
      <w:pPr>
        <w:pStyle w:val="Heading3"/>
        <w:shd w:val="clear" w:color="auto" w:fill="FFFFFF"/>
        <w:spacing w:before="72"/>
        <w:rPr>
          <w:rFonts w:ascii="Arial" w:hAnsi="Arial" w:cs="Arial"/>
          <w:color w:val="000000"/>
          <w:sz w:val="36"/>
          <w:szCs w:val="29"/>
        </w:rPr>
      </w:pPr>
      <w:r w:rsidRPr="009A405F">
        <w:rPr>
          <w:rStyle w:val="mw-headline"/>
          <w:rFonts w:ascii="Arial" w:hAnsi="Arial" w:cs="Arial"/>
          <w:color w:val="000000"/>
          <w:sz w:val="36"/>
          <w:szCs w:val="29"/>
        </w:rPr>
        <w:t>Senior leadership</w:t>
      </w:r>
    </w:p>
    <w:p w:rsidR="009A405F" w:rsidRPr="009A405F" w:rsidRDefault="009A405F" w:rsidP="009A405F">
      <w:pPr>
        <w:numPr>
          <w:ilvl w:val="0"/>
          <w:numId w:val="7"/>
        </w:numPr>
        <w:shd w:val="clear" w:color="auto" w:fill="FFFFFF"/>
        <w:spacing w:before="100" w:beforeAutospacing="1" w:after="24" w:line="240" w:lineRule="auto"/>
        <w:ind w:left="384"/>
        <w:rPr>
          <w:rFonts w:ascii="Arial" w:hAnsi="Arial" w:cs="Arial"/>
          <w:color w:val="202122"/>
          <w:sz w:val="18"/>
          <w:szCs w:val="14"/>
        </w:rPr>
      </w:pPr>
      <w:r w:rsidRPr="009A405F">
        <w:rPr>
          <w:rFonts w:ascii="Arial" w:hAnsi="Arial" w:cs="Arial"/>
          <w:i/>
          <w:iCs/>
          <w:color w:val="202122"/>
          <w:sz w:val="18"/>
          <w:szCs w:val="14"/>
        </w:rPr>
        <w:t>Chairman</w:t>
      </w:r>
      <w:r w:rsidRPr="009A405F">
        <w:rPr>
          <w:rFonts w:ascii="Arial" w:hAnsi="Arial" w:cs="Arial"/>
          <w:color w:val="202122"/>
          <w:sz w:val="18"/>
          <w:szCs w:val="14"/>
        </w:rPr>
        <w:t>: </w:t>
      </w:r>
      <w:hyperlink r:id="rId120" w:tooltip="Jamie Dimon" w:history="1">
        <w:r w:rsidRPr="009A405F">
          <w:rPr>
            <w:rStyle w:val="Hyperlink"/>
            <w:rFonts w:ascii="Arial" w:hAnsi="Arial" w:cs="Arial"/>
            <w:color w:val="0645AD"/>
            <w:sz w:val="18"/>
            <w:szCs w:val="14"/>
          </w:rPr>
          <w:t xml:space="preserve">Jamie </w:t>
        </w:r>
        <w:proofErr w:type="spellStart"/>
        <w:r w:rsidRPr="009A405F">
          <w:rPr>
            <w:rStyle w:val="Hyperlink"/>
            <w:rFonts w:ascii="Arial" w:hAnsi="Arial" w:cs="Arial"/>
            <w:color w:val="0645AD"/>
            <w:sz w:val="18"/>
            <w:szCs w:val="14"/>
          </w:rPr>
          <w:t>Dimon</w:t>
        </w:r>
        <w:proofErr w:type="spellEnd"/>
      </w:hyperlink>
      <w:r w:rsidRPr="009A405F">
        <w:rPr>
          <w:rFonts w:ascii="Arial" w:hAnsi="Arial" w:cs="Arial"/>
          <w:color w:val="202122"/>
          <w:sz w:val="18"/>
          <w:szCs w:val="14"/>
        </w:rPr>
        <w:t> (since January 2007)</w:t>
      </w:r>
    </w:p>
    <w:p w:rsidR="009A405F" w:rsidRPr="009A405F" w:rsidRDefault="009A405F" w:rsidP="009A405F">
      <w:pPr>
        <w:numPr>
          <w:ilvl w:val="0"/>
          <w:numId w:val="7"/>
        </w:numPr>
        <w:shd w:val="clear" w:color="auto" w:fill="FFFFFF"/>
        <w:spacing w:before="100" w:beforeAutospacing="1" w:after="24" w:line="240" w:lineRule="auto"/>
        <w:ind w:left="384"/>
        <w:rPr>
          <w:rFonts w:ascii="Arial" w:hAnsi="Arial" w:cs="Arial"/>
          <w:color w:val="202122"/>
          <w:sz w:val="18"/>
          <w:szCs w:val="14"/>
        </w:rPr>
      </w:pPr>
      <w:r w:rsidRPr="009A405F">
        <w:rPr>
          <w:rFonts w:ascii="Arial" w:hAnsi="Arial" w:cs="Arial"/>
          <w:i/>
          <w:iCs/>
          <w:color w:val="202122"/>
          <w:sz w:val="18"/>
          <w:szCs w:val="14"/>
        </w:rPr>
        <w:t>Chief Executive</w:t>
      </w:r>
      <w:r w:rsidRPr="009A405F">
        <w:rPr>
          <w:rFonts w:ascii="Arial" w:hAnsi="Arial" w:cs="Arial"/>
          <w:color w:val="202122"/>
          <w:sz w:val="18"/>
          <w:szCs w:val="14"/>
        </w:rPr>
        <w:t>: </w:t>
      </w:r>
      <w:hyperlink r:id="rId121" w:tooltip="Jamie Dimon" w:history="1">
        <w:r w:rsidRPr="009A405F">
          <w:rPr>
            <w:rStyle w:val="Hyperlink"/>
            <w:rFonts w:ascii="Arial" w:hAnsi="Arial" w:cs="Arial"/>
            <w:color w:val="0645AD"/>
            <w:sz w:val="18"/>
            <w:szCs w:val="14"/>
          </w:rPr>
          <w:t xml:space="preserve">Jamie </w:t>
        </w:r>
        <w:proofErr w:type="spellStart"/>
        <w:r w:rsidRPr="009A405F">
          <w:rPr>
            <w:rStyle w:val="Hyperlink"/>
            <w:rFonts w:ascii="Arial" w:hAnsi="Arial" w:cs="Arial"/>
            <w:color w:val="0645AD"/>
            <w:sz w:val="18"/>
            <w:szCs w:val="14"/>
          </w:rPr>
          <w:t>Dimon</w:t>
        </w:r>
        <w:proofErr w:type="spellEnd"/>
      </w:hyperlink>
      <w:r w:rsidRPr="009A405F">
        <w:rPr>
          <w:rFonts w:ascii="Arial" w:hAnsi="Arial" w:cs="Arial"/>
          <w:color w:val="202122"/>
          <w:sz w:val="18"/>
          <w:szCs w:val="14"/>
        </w:rPr>
        <w:t> (since January 2006)</w:t>
      </w:r>
    </w:p>
    <w:p w:rsidR="009A405F" w:rsidRDefault="009A405F" w:rsidP="009A405F">
      <w:pPr>
        <w:pStyle w:val="Heading4"/>
        <w:shd w:val="clear" w:color="auto" w:fill="FFFFFF"/>
        <w:spacing w:before="72"/>
        <w:rPr>
          <w:rStyle w:val="mw-headline"/>
          <w:rFonts w:ascii="Arial" w:hAnsi="Arial" w:cs="Arial"/>
          <w:color w:val="000000"/>
          <w:sz w:val="18"/>
          <w:szCs w:val="14"/>
        </w:rPr>
      </w:pPr>
    </w:p>
    <w:p w:rsidR="009A405F" w:rsidRPr="009A405F" w:rsidRDefault="009A405F" w:rsidP="009A405F">
      <w:pPr>
        <w:pStyle w:val="Heading4"/>
        <w:shd w:val="clear" w:color="auto" w:fill="FFFFFF"/>
        <w:spacing w:before="72"/>
        <w:rPr>
          <w:rFonts w:ascii="Arial" w:hAnsi="Arial" w:cs="Arial"/>
          <w:b w:val="0"/>
          <w:bCs w:val="0"/>
          <w:color w:val="54595D"/>
          <w:sz w:val="28"/>
        </w:rPr>
      </w:pPr>
      <w:r w:rsidRPr="009A405F">
        <w:rPr>
          <w:rStyle w:val="mw-headline"/>
          <w:rFonts w:ascii="Arial" w:hAnsi="Arial" w:cs="Arial"/>
          <w:color w:val="000000"/>
          <w:sz w:val="18"/>
          <w:szCs w:val="14"/>
        </w:rPr>
        <w:t>List of former chairmen</w:t>
      </w:r>
    </w:p>
    <w:p w:rsidR="009A405F" w:rsidRPr="009A405F" w:rsidRDefault="009A405F" w:rsidP="009A405F">
      <w:pPr>
        <w:numPr>
          <w:ilvl w:val="0"/>
          <w:numId w:val="8"/>
        </w:numPr>
        <w:shd w:val="clear" w:color="auto" w:fill="FFFFFF"/>
        <w:spacing w:before="100" w:beforeAutospacing="1" w:after="24" w:line="240" w:lineRule="auto"/>
        <w:ind w:left="768"/>
        <w:rPr>
          <w:rFonts w:ascii="Arial" w:hAnsi="Arial" w:cs="Arial"/>
          <w:color w:val="202122"/>
          <w:sz w:val="18"/>
          <w:szCs w:val="14"/>
        </w:rPr>
      </w:pPr>
      <w:hyperlink r:id="rId122" w:tooltip="William B. Harrison Jr." w:history="1">
        <w:r w:rsidRPr="009A405F">
          <w:rPr>
            <w:rStyle w:val="Hyperlink"/>
            <w:rFonts w:ascii="Arial" w:hAnsi="Arial" w:cs="Arial"/>
            <w:color w:val="0645AD"/>
            <w:sz w:val="18"/>
            <w:szCs w:val="14"/>
          </w:rPr>
          <w:t>William B. Harrison Jr.</w:t>
        </w:r>
      </w:hyperlink>
      <w:r w:rsidRPr="009A405F">
        <w:rPr>
          <w:rFonts w:ascii="Arial" w:hAnsi="Arial" w:cs="Arial"/>
          <w:color w:val="202122"/>
          <w:sz w:val="18"/>
          <w:szCs w:val="14"/>
        </w:rPr>
        <w:t> (2000–2006)</w:t>
      </w:r>
    </w:p>
    <w:p w:rsidR="009A405F" w:rsidRDefault="009A405F" w:rsidP="009A405F">
      <w:pPr>
        <w:pStyle w:val="Heading4"/>
        <w:shd w:val="clear" w:color="auto" w:fill="FFFFFF"/>
        <w:spacing w:before="72"/>
        <w:rPr>
          <w:rStyle w:val="mw-headline"/>
          <w:rFonts w:ascii="Arial" w:hAnsi="Arial" w:cs="Arial"/>
          <w:color w:val="000000"/>
          <w:sz w:val="18"/>
          <w:szCs w:val="14"/>
        </w:rPr>
      </w:pPr>
    </w:p>
    <w:p w:rsidR="009A405F" w:rsidRPr="009A405F" w:rsidRDefault="009A405F" w:rsidP="009A405F">
      <w:pPr>
        <w:pStyle w:val="Heading4"/>
        <w:shd w:val="clear" w:color="auto" w:fill="FFFFFF"/>
        <w:spacing w:before="72"/>
        <w:rPr>
          <w:rFonts w:ascii="Arial" w:hAnsi="Arial" w:cs="Arial"/>
          <w:color w:val="000000"/>
          <w:sz w:val="18"/>
          <w:szCs w:val="14"/>
        </w:rPr>
      </w:pPr>
      <w:r w:rsidRPr="009A405F">
        <w:rPr>
          <w:rStyle w:val="mw-headline"/>
          <w:rFonts w:ascii="Arial" w:hAnsi="Arial" w:cs="Arial"/>
          <w:color w:val="000000"/>
          <w:sz w:val="18"/>
          <w:szCs w:val="14"/>
        </w:rPr>
        <w:t>List of former chief executives</w:t>
      </w:r>
    </w:p>
    <w:p w:rsidR="009A405F" w:rsidRPr="009A405F" w:rsidRDefault="009A405F" w:rsidP="009A405F">
      <w:pPr>
        <w:numPr>
          <w:ilvl w:val="0"/>
          <w:numId w:val="9"/>
        </w:numPr>
        <w:shd w:val="clear" w:color="auto" w:fill="FFFFFF"/>
        <w:spacing w:before="100" w:beforeAutospacing="1" w:after="24" w:line="240" w:lineRule="auto"/>
        <w:ind w:left="768"/>
        <w:rPr>
          <w:rFonts w:ascii="Arial" w:hAnsi="Arial" w:cs="Arial"/>
          <w:color w:val="202122"/>
          <w:sz w:val="18"/>
          <w:szCs w:val="14"/>
        </w:rPr>
      </w:pPr>
      <w:hyperlink r:id="rId123" w:tooltip="William B. Harrison Jr." w:history="1">
        <w:r w:rsidRPr="009A405F">
          <w:rPr>
            <w:rStyle w:val="Hyperlink"/>
            <w:rFonts w:ascii="Arial" w:hAnsi="Arial" w:cs="Arial"/>
            <w:color w:val="0645AD"/>
            <w:sz w:val="18"/>
            <w:szCs w:val="14"/>
          </w:rPr>
          <w:t>William B. Harrison Jr.</w:t>
        </w:r>
      </w:hyperlink>
      <w:r w:rsidRPr="009A405F">
        <w:rPr>
          <w:rFonts w:ascii="Arial" w:hAnsi="Arial" w:cs="Arial"/>
          <w:color w:val="202122"/>
          <w:sz w:val="18"/>
          <w:szCs w:val="14"/>
        </w:rPr>
        <w:t> (2000–2005)</w:t>
      </w:r>
    </w:p>
    <w:p w:rsidR="008232C4" w:rsidRPr="008232C4" w:rsidRDefault="008232C4" w:rsidP="008232C4">
      <w:pPr>
        <w:pBdr>
          <w:bottom w:val="single" w:sz="4" w:space="0" w:color="A2A9B1"/>
        </w:pBdr>
        <w:shd w:val="clear" w:color="auto" w:fill="FFFFFF"/>
        <w:spacing w:before="240" w:after="60" w:line="240" w:lineRule="auto"/>
        <w:outlineLvl w:val="1"/>
        <w:rPr>
          <w:rFonts w:ascii="Georgia" w:eastAsia="Times New Roman" w:hAnsi="Georgia" w:cs="Times New Roman"/>
          <w:b/>
          <w:color w:val="000000"/>
          <w:sz w:val="36"/>
          <w:szCs w:val="36"/>
        </w:rPr>
      </w:pPr>
      <w:r w:rsidRPr="008232C4">
        <w:rPr>
          <w:rFonts w:ascii="Georgia" w:eastAsia="Times New Roman" w:hAnsi="Georgia" w:cs="Times New Roman"/>
          <w:b/>
          <w:color w:val="000000"/>
          <w:sz w:val="36"/>
          <w:szCs w:val="36"/>
        </w:rPr>
        <w:lastRenderedPageBreak/>
        <w:t>Awards</w:t>
      </w:r>
    </w:p>
    <w:p w:rsidR="008232C4" w:rsidRPr="008232C4" w:rsidRDefault="008232C4" w:rsidP="008232C4">
      <w:pPr>
        <w:numPr>
          <w:ilvl w:val="0"/>
          <w:numId w:val="10"/>
        </w:numPr>
        <w:shd w:val="clear" w:color="auto" w:fill="FFFFFF"/>
        <w:spacing w:before="100" w:beforeAutospacing="1" w:after="24" w:line="240" w:lineRule="auto"/>
        <w:ind w:left="384"/>
        <w:rPr>
          <w:rFonts w:ascii="Arial" w:eastAsia="Times New Roman" w:hAnsi="Arial" w:cs="Arial"/>
          <w:b/>
          <w:color w:val="202122"/>
          <w:sz w:val="40"/>
          <w:szCs w:val="14"/>
        </w:rPr>
      </w:pPr>
      <w:r w:rsidRPr="008232C4">
        <w:rPr>
          <w:rFonts w:ascii="Arial" w:eastAsia="Times New Roman" w:hAnsi="Arial" w:cs="Arial"/>
          <w:b/>
          <w:i/>
          <w:iCs/>
          <w:color w:val="202122"/>
          <w:sz w:val="40"/>
          <w:szCs w:val="14"/>
        </w:rPr>
        <w:t>Best Banking Performer, United States of America</w:t>
      </w:r>
      <w:r w:rsidRPr="008232C4">
        <w:rPr>
          <w:rFonts w:ascii="Arial" w:eastAsia="Times New Roman" w:hAnsi="Arial" w:cs="Arial"/>
          <w:b/>
          <w:color w:val="202122"/>
          <w:sz w:val="40"/>
          <w:szCs w:val="14"/>
        </w:rPr>
        <w:t> in 2016 by Global Brands Magazine Award</w:t>
      </w:r>
    </w:p>
    <w:p w:rsidR="009A405F" w:rsidRPr="008232C4" w:rsidRDefault="00FD49DB">
      <w:pPr>
        <w:rPr>
          <w:b/>
          <w:color w:val="000000" w:themeColor="text1"/>
          <w:sz w:val="28"/>
          <w:szCs w:val="28"/>
        </w:rPr>
      </w:pPr>
      <w:r>
        <w:rPr>
          <w:b/>
          <w:noProof/>
          <w:color w:val="000000" w:themeColor="text1"/>
          <w:sz w:val="28"/>
          <w:szCs w:val="28"/>
        </w:rPr>
        <w:drawing>
          <wp:inline distT="0" distB="0" distL="0" distR="0">
            <wp:extent cx="2255520" cy="1295400"/>
            <wp:effectExtent l="19050" t="0" r="0" b="0"/>
            <wp:docPr id="10" name="Picture 9" descr="downloa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8).jpg"/>
                    <pic:cNvPicPr/>
                  </pic:nvPicPr>
                  <pic:blipFill>
                    <a:blip r:embed="rId124"/>
                    <a:stretch>
                      <a:fillRect/>
                    </a:stretch>
                  </pic:blipFill>
                  <pic:spPr>
                    <a:xfrm>
                      <a:off x="0" y="0"/>
                      <a:ext cx="2255520" cy="1295400"/>
                    </a:xfrm>
                    <a:prstGeom prst="rect">
                      <a:avLst/>
                    </a:prstGeom>
                  </pic:spPr>
                </pic:pic>
              </a:graphicData>
            </a:graphic>
          </wp:inline>
        </w:drawing>
      </w:r>
      <w:r>
        <w:rPr>
          <w:b/>
          <w:color w:val="000000" w:themeColor="text1"/>
          <w:sz w:val="28"/>
          <w:szCs w:val="28"/>
        </w:rPr>
        <w:t xml:space="preserve">     </w:t>
      </w:r>
      <w:r>
        <w:rPr>
          <w:b/>
          <w:noProof/>
          <w:color w:val="000000" w:themeColor="text1"/>
          <w:sz w:val="28"/>
          <w:szCs w:val="28"/>
        </w:rPr>
        <w:drawing>
          <wp:inline distT="0" distB="0" distL="0" distR="0">
            <wp:extent cx="2179320" cy="1341120"/>
            <wp:effectExtent l="19050" t="0" r="0" b="0"/>
            <wp:docPr id="11" name="Picture 10" descr="download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9).jpg"/>
                    <pic:cNvPicPr/>
                  </pic:nvPicPr>
                  <pic:blipFill>
                    <a:blip r:embed="rId125"/>
                    <a:stretch>
                      <a:fillRect/>
                    </a:stretch>
                  </pic:blipFill>
                  <pic:spPr>
                    <a:xfrm>
                      <a:off x="0" y="0"/>
                      <a:ext cx="2179320" cy="1341120"/>
                    </a:xfrm>
                    <a:prstGeom prst="rect">
                      <a:avLst/>
                    </a:prstGeom>
                  </pic:spPr>
                </pic:pic>
              </a:graphicData>
            </a:graphic>
          </wp:inline>
        </w:drawing>
      </w:r>
    </w:p>
    <w:p w:rsidR="008232C4" w:rsidRPr="008232C4" w:rsidRDefault="008232C4" w:rsidP="008232C4">
      <w:pPr>
        <w:rPr>
          <w:b/>
          <w:color w:val="000000" w:themeColor="text1"/>
          <w:sz w:val="40"/>
        </w:rPr>
      </w:pPr>
      <w:r w:rsidRPr="008232C4">
        <w:rPr>
          <w:b/>
          <w:color w:val="000000" w:themeColor="text1"/>
          <w:sz w:val="40"/>
        </w:rPr>
        <w:t>Sources</w:t>
      </w:r>
    </w:p>
    <w:p w:rsidR="008232C4" w:rsidRPr="008232C4" w:rsidRDefault="008232C4" w:rsidP="008232C4">
      <w:pPr>
        <w:rPr>
          <w:color w:val="000000" w:themeColor="text1"/>
          <w:sz w:val="28"/>
          <w:szCs w:val="28"/>
        </w:rPr>
      </w:pPr>
      <w:r w:rsidRPr="008232C4">
        <w:rPr>
          <w:color w:val="000000" w:themeColor="text1"/>
          <w:sz w:val="28"/>
          <w:szCs w:val="28"/>
        </w:rPr>
        <w:t xml:space="preserve">Vincent P. </w:t>
      </w:r>
      <w:proofErr w:type="spellStart"/>
      <w:r w:rsidRPr="008232C4">
        <w:rPr>
          <w:color w:val="000000" w:themeColor="text1"/>
          <w:sz w:val="28"/>
          <w:szCs w:val="28"/>
        </w:rPr>
        <w:t>Carosso</w:t>
      </w:r>
      <w:proofErr w:type="spellEnd"/>
      <w:r w:rsidRPr="008232C4">
        <w:rPr>
          <w:color w:val="000000" w:themeColor="text1"/>
          <w:sz w:val="28"/>
          <w:szCs w:val="28"/>
        </w:rPr>
        <w:t xml:space="preserve">, </w:t>
      </w:r>
      <w:proofErr w:type="gramStart"/>
      <w:r w:rsidRPr="008232C4">
        <w:rPr>
          <w:color w:val="000000" w:themeColor="text1"/>
          <w:sz w:val="28"/>
          <w:szCs w:val="28"/>
        </w:rPr>
        <w:t>The</w:t>
      </w:r>
      <w:proofErr w:type="gramEnd"/>
      <w:r w:rsidRPr="008232C4">
        <w:rPr>
          <w:color w:val="000000" w:themeColor="text1"/>
          <w:sz w:val="28"/>
          <w:szCs w:val="28"/>
        </w:rPr>
        <w:t xml:space="preserve"> </w:t>
      </w:r>
      <w:proofErr w:type="spellStart"/>
      <w:r w:rsidRPr="008232C4">
        <w:rPr>
          <w:color w:val="000000" w:themeColor="text1"/>
          <w:sz w:val="28"/>
          <w:szCs w:val="28"/>
        </w:rPr>
        <w:t>Morgans</w:t>
      </w:r>
      <w:proofErr w:type="spellEnd"/>
      <w:r w:rsidRPr="008232C4">
        <w:rPr>
          <w:color w:val="000000" w:themeColor="text1"/>
          <w:sz w:val="28"/>
          <w:szCs w:val="28"/>
        </w:rPr>
        <w:t xml:space="preserve">: Private International Bankers, 1854–1913. </w:t>
      </w:r>
      <w:proofErr w:type="gramStart"/>
      <w:r w:rsidRPr="008232C4">
        <w:rPr>
          <w:color w:val="000000" w:themeColor="text1"/>
          <w:sz w:val="28"/>
          <w:szCs w:val="28"/>
        </w:rPr>
        <w:t>Harvard University Press, Cambridge, MA, 1987.</w:t>
      </w:r>
      <w:proofErr w:type="gramEnd"/>
    </w:p>
    <w:p w:rsidR="008232C4" w:rsidRPr="008232C4" w:rsidRDefault="008232C4" w:rsidP="008232C4">
      <w:pPr>
        <w:rPr>
          <w:color w:val="000000" w:themeColor="text1"/>
          <w:sz w:val="28"/>
          <w:szCs w:val="28"/>
        </w:rPr>
      </w:pPr>
      <w:r w:rsidRPr="008232C4">
        <w:rPr>
          <w:color w:val="000000" w:themeColor="text1"/>
          <w:sz w:val="28"/>
          <w:szCs w:val="28"/>
        </w:rPr>
        <w:t xml:space="preserve">Vincent P. </w:t>
      </w:r>
      <w:proofErr w:type="spellStart"/>
      <w:r w:rsidRPr="008232C4">
        <w:rPr>
          <w:color w:val="000000" w:themeColor="text1"/>
          <w:sz w:val="28"/>
          <w:szCs w:val="28"/>
        </w:rPr>
        <w:t>Carosso</w:t>
      </w:r>
      <w:proofErr w:type="spellEnd"/>
      <w:r w:rsidRPr="008232C4">
        <w:rPr>
          <w:color w:val="000000" w:themeColor="text1"/>
          <w:sz w:val="28"/>
          <w:szCs w:val="28"/>
        </w:rPr>
        <w:t xml:space="preserve">, Investment Banking in America: A History. </w:t>
      </w:r>
      <w:proofErr w:type="gramStart"/>
      <w:r w:rsidRPr="008232C4">
        <w:rPr>
          <w:color w:val="000000" w:themeColor="text1"/>
          <w:sz w:val="28"/>
          <w:szCs w:val="28"/>
        </w:rPr>
        <w:t>Harvard University Press, Cambridge, MA, 1970.</w:t>
      </w:r>
      <w:proofErr w:type="gramEnd"/>
    </w:p>
    <w:p w:rsidR="008232C4" w:rsidRPr="008232C4" w:rsidRDefault="008232C4" w:rsidP="008232C4">
      <w:pPr>
        <w:rPr>
          <w:color w:val="000000" w:themeColor="text1"/>
          <w:sz w:val="28"/>
          <w:szCs w:val="28"/>
        </w:rPr>
      </w:pPr>
      <w:r w:rsidRPr="008232C4">
        <w:rPr>
          <w:color w:val="000000" w:themeColor="text1"/>
          <w:sz w:val="28"/>
          <w:szCs w:val="28"/>
        </w:rPr>
        <w:t xml:space="preserve">Ron </w:t>
      </w:r>
      <w:proofErr w:type="spellStart"/>
      <w:r w:rsidRPr="008232C4">
        <w:rPr>
          <w:color w:val="000000" w:themeColor="text1"/>
          <w:sz w:val="28"/>
          <w:szCs w:val="28"/>
        </w:rPr>
        <w:t>Chernow</w:t>
      </w:r>
      <w:proofErr w:type="spellEnd"/>
      <w:r w:rsidRPr="008232C4">
        <w:rPr>
          <w:color w:val="000000" w:themeColor="text1"/>
          <w:sz w:val="28"/>
          <w:szCs w:val="28"/>
        </w:rPr>
        <w:t xml:space="preserve"> </w:t>
      </w:r>
      <w:proofErr w:type="gramStart"/>
      <w:r w:rsidRPr="008232C4">
        <w:rPr>
          <w:color w:val="000000" w:themeColor="text1"/>
          <w:sz w:val="28"/>
          <w:szCs w:val="28"/>
        </w:rPr>
        <w:t>The</w:t>
      </w:r>
      <w:proofErr w:type="gramEnd"/>
      <w:r w:rsidRPr="008232C4">
        <w:rPr>
          <w:color w:val="000000" w:themeColor="text1"/>
          <w:sz w:val="28"/>
          <w:szCs w:val="28"/>
        </w:rPr>
        <w:t xml:space="preserve"> House of Morgan: An American Banking Dynasty and the Rise of Modern Finance (2001) ISBN 0-8021-3829-2</w:t>
      </w:r>
    </w:p>
    <w:p w:rsidR="008232C4" w:rsidRPr="008232C4" w:rsidRDefault="008232C4" w:rsidP="008232C4">
      <w:pPr>
        <w:rPr>
          <w:color w:val="000000" w:themeColor="text1"/>
          <w:sz w:val="28"/>
          <w:szCs w:val="28"/>
        </w:rPr>
      </w:pPr>
      <w:r w:rsidRPr="008232C4">
        <w:rPr>
          <w:color w:val="000000" w:themeColor="text1"/>
          <w:sz w:val="28"/>
          <w:szCs w:val="28"/>
        </w:rPr>
        <w:t>Steve Fraser Every Man a Speculator: A History of Wall Street in American Life. New York: HarperCollins, 2005.</w:t>
      </w:r>
    </w:p>
    <w:p w:rsidR="008232C4" w:rsidRPr="008232C4" w:rsidRDefault="008232C4" w:rsidP="008232C4">
      <w:pPr>
        <w:rPr>
          <w:color w:val="000000" w:themeColor="text1"/>
          <w:sz w:val="28"/>
          <w:szCs w:val="28"/>
        </w:rPr>
      </w:pPr>
      <w:r w:rsidRPr="008232C4">
        <w:rPr>
          <w:color w:val="000000" w:themeColor="text1"/>
          <w:sz w:val="28"/>
          <w:szCs w:val="28"/>
        </w:rPr>
        <w:t xml:space="preserve">Charles R. </w:t>
      </w:r>
      <w:proofErr w:type="spellStart"/>
      <w:r w:rsidRPr="008232C4">
        <w:rPr>
          <w:color w:val="000000" w:themeColor="text1"/>
          <w:sz w:val="28"/>
          <w:szCs w:val="28"/>
        </w:rPr>
        <w:t>Geisst</w:t>
      </w:r>
      <w:proofErr w:type="spellEnd"/>
      <w:r w:rsidRPr="008232C4">
        <w:rPr>
          <w:color w:val="000000" w:themeColor="text1"/>
          <w:sz w:val="28"/>
          <w:szCs w:val="28"/>
        </w:rPr>
        <w:t xml:space="preserve">. Wall Street: A History from Its Beginnings to the </w:t>
      </w:r>
      <w:proofErr w:type="gramStart"/>
      <w:r w:rsidRPr="008232C4">
        <w:rPr>
          <w:color w:val="000000" w:themeColor="text1"/>
          <w:sz w:val="28"/>
          <w:szCs w:val="28"/>
        </w:rPr>
        <w:t>Fall</w:t>
      </w:r>
      <w:proofErr w:type="gramEnd"/>
      <w:r w:rsidRPr="008232C4">
        <w:rPr>
          <w:color w:val="000000" w:themeColor="text1"/>
          <w:sz w:val="28"/>
          <w:szCs w:val="28"/>
        </w:rPr>
        <w:t xml:space="preserve"> of Enron. </w:t>
      </w:r>
      <w:proofErr w:type="gramStart"/>
      <w:r w:rsidRPr="008232C4">
        <w:rPr>
          <w:color w:val="000000" w:themeColor="text1"/>
          <w:sz w:val="28"/>
          <w:szCs w:val="28"/>
        </w:rPr>
        <w:t>Oxford University Press, 2004.</w:t>
      </w:r>
      <w:proofErr w:type="gramEnd"/>
      <w:r w:rsidRPr="008232C4">
        <w:rPr>
          <w:color w:val="000000" w:themeColor="text1"/>
          <w:sz w:val="28"/>
          <w:szCs w:val="28"/>
        </w:rPr>
        <w:t xml:space="preserve"> </w:t>
      </w:r>
      <w:proofErr w:type="gramStart"/>
      <w:r w:rsidRPr="008232C4">
        <w:rPr>
          <w:color w:val="000000" w:themeColor="text1"/>
          <w:sz w:val="28"/>
          <w:szCs w:val="28"/>
        </w:rPr>
        <w:t>online</w:t>
      </w:r>
      <w:proofErr w:type="gramEnd"/>
      <w:r w:rsidRPr="008232C4">
        <w:rPr>
          <w:color w:val="000000" w:themeColor="text1"/>
          <w:sz w:val="28"/>
          <w:szCs w:val="28"/>
        </w:rPr>
        <w:t xml:space="preserve"> edition</w:t>
      </w:r>
    </w:p>
    <w:p w:rsidR="008232C4" w:rsidRPr="008232C4" w:rsidRDefault="008232C4" w:rsidP="008232C4">
      <w:pPr>
        <w:rPr>
          <w:color w:val="000000" w:themeColor="text1"/>
          <w:sz w:val="28"/>
          <w:szCs w:val="28"/>
        </w:rPr>
      </w:pPr>
      <w:r w:rsidRPr="008232C4">
        <w:rPr>
          <w:color w:val="000000" w:themeColor="text1"/>
          <w:sz w:val="28"/>
          <w:szCs w:val="28"/>
        </w:rPr>
        <w:t xml:space="preserve">John Moody </w:t>
      </w:r>
      <w:proofErr w:type="gramStart"/>
      <w:r w:rsidRPr="008232C4">
        <w:rPr>
          <w:color w:val="000000" w:themeColor="text1"/>
          <w:sz w:val="28"/>
          <w:szCs w:val="28"/>
        </w:rPr>
        <w:t>The</w:t>
      </w:r>
      <w:proofErr w:type="gramEnd"/>
      <w:r w:rsidRPr="008232C4">
        <w:rPr>
          <w:color w:val="000000" w:themeColor="text1"/>
          <w:sz w:val="28"/>
          <w:szCs w:val="28"/>
        </w:rPr>
        <w:t xml:space="preserve"> Masters of Capital: A Wall Street Chronicle. </w:t>
      </w:r>
      <w:proofErr w:type="gramStart"/>
      <w:r w:rsidRPr="008232C4">
        <w:rPr>
          <w:color w:val="000000" w:themeColor="text1"/>
          <w:sz w:val="28"/>
          <w:szCs w:val="28"/>
        </w:rPr>
        <w:t>Yale University Press, New Haven, Connecticut, 1921.</w:t>
      </w:r>
      <w:proofErr w:type="gramEnd"/>
    </w:p>
    <w:p w:rsidR="008232C4" w:rsidRDefault="008232C4" w:rsidP="008232C4">
      <w:pPr>
        <w:rPr>
          <w:color w:val="000000" w:themeColor="text1"/>
          <w:sz w:val="28"/>
          <w:szCs w:val="28"/>
        </w:rPr>
      </w:pPr>
      <w:r w:rsidRPr="008232C4">
        <w:rPr>
          <w:color w:val="000000" w:themeColor="text1"/>
          <w:sz w:val="28"/>
          <w:szCs w:val="28"/>
        </w:rPr>
        <w:t>Morris, Charles R. The Tycoons: How Andrew Carnegie, John D. Rockefeller, Jay Gould, and J. P. Morgan Invented the Modern World.</w:t>
      </w:r>
    </w:p>
    <w:p w:rsidR="00D678E6" w:rsidRDefault="00D678E6" w:rsidP="008232C4">
      <w:pPr>
        <w:rPr>
          <w:color w:val="000000" w:themeColor="text1"/>
          <w:sz w:val="28"/>
          <w:szCs w:val="28"/>
        </w:rPr>
      </w:pPr>
    </w:p>
    <w:p w:rsidR="00D678E6" w:rsidRDefault="00D678E6" w:rsidP="008232C4">
      <w:pPr>
        <w:rPr>
          <w:color w:val="000000" w:themeColor="text1"/>
          <w:sz w:val="28"/>
          <w:szCs w:val="28"/>
        </w:rPr>
      </w:pPr>
    </w:p>
    <w:p w:rsidR="00D678E6" w:rsidRDefault="00D678E6" w:rsidP="008232C4">
      <w:pPr>
        <w:rPr>
          <w:color w:val="000000" w:themeColor="text1"/>
          <w:sz w:val="28"/>
          <w:szCs w:val="28"/>
        </w:rPr>
      </w:pPr>
    </w:p>
    <w:p w:rsidR="00D678E6" w:rsidRDefault="00D678E6" w:rsidP="008232C4">
      <w:pPr>
        <w:rPr>
          <w:color w:val="000000" w:themeColor="text1"/>
          <w:sz w:val="28"/>
          <w:szCs w:val="28"/>
        </w:rPr>
      </w:pPr>
    </w:p>
    <w:p w:rsidR="00D678E6" w:rsidRDefault="00D678E6" w:rsidP="008232C4">
      <w:pPr>
        <w:rPr>
          <w:b/>
          <w:color w:val="000000" w:themeColor="text1"/>
          <w:sz w:val="40"/>
          <w:szCs w:val="28"/>
        </w:rPr>
      </w:pPr>
      <w:r>
        <w:rPr>
          <w:b/>
          <w:color w:val="000000" w:themeColor="text1"/>
          <w:sz w:val="40"/>
          <w:szCs w:val="28"/>
        </w:rPr>
        <w:t xml:space="preserve">                                         </w:t>
      </w:r>
      <w:r w:rsidRPr="00D678E6">
        <w:rPr>
          <w:b/>
          <w:color w:val="000000" w:themeColor="text1"/>
          <w:sz w:val="40"/>
          <w:szCs w:val="28"/>
        </w:rPr>
        <w:t>CONCLUSION</w:t>
      </w:r>
    </w:p>
    <w:p w:rsidR="00D678E6" w:rsidRDefault="00D678E6" w:rsidP="008232C4">
      <w:pPr>
        <w:rPr>
          <w:b/>
          <w:color w:val="000000" w:themeColor="text1"/>
          <w:sz w:val="40"/>
          <w:szCs w:val="28"/>
        </w:rPr>
      </w:pPr>
    </w:p>
    <w:p w:rsidR="00D678E6" w:rsidRPr="00D678E6" w:rsidRDefault="00D678E6" w:rsidP="008232C4">
      <w:pPr>
        <w:rPr>
          <w:b/>
          <w:color w:val="000000" w:themeColor="text1"/>
          <w:sz w:val="32"/>
        </w:rPr>
      </w:pPr>
      <w:proofErr w:type="gramStart"/>
      <w:r w:rsidRPr="00D678E6">
        <w:rPr>
          <w:b/>
          <w:color w:val="000000" w:themeColor="text1"/>
          <w:sz w:val="32"/>
        </w:rPr>
        <w:t xml:space="preserve">Finally, I concluded that </w:t>
      </w:r>
      <w:proofErr w:type="spellStart"/>
      <w:r w:rsidRPr="00D678E6">
        <w:rPr>
          <w:b/>
          <w:color w:val="000000" w:themeColor="text1"/>
          <w:sz w:val="32"/>
        </w:rPr>
        <w:t>J.P.Morgan</w:t>
      </w:r>
      <w:proofErr w:type="spellEnd"/>
      <w:r w:rsidRPr="00D678E6">
        <w:rPr>
          <w:b/>
          <w:color w:val="000000" w:themeColor="text1"/>
          <w:sz w:val="32"/>
        </w:rPr>
        <w:t xml:space="preserve"> Chase &amp; Co. is the largest and oldest bank in the United States of America.</w:t>
      </w:r>
      <w:proofErr w:type="gramEnd"/>
      <w:r w:rsidRPr="00D678E6">
        <w:rPr>
          <w:b/>
          <w:color w:val="000000" w:themeColor="text1"/>
          <w:sz w:val="32"/>
        </w:rPr>
        <w:t xml:space="preserve"> They perform well in the United States' financial and economic markets. In terms of assets, they are one of the top four banks in the world. They are accumulating more assets. </w:t>
      </w:r>
      <w:proofErr w:type="gramStart"/>
      <w:r w:rsidRPr="00D678E6">
        <w:rPr>
          <w:b/>
          <w:color w:val="000000" w:themeColor="text1"/>
          <w:sz w:val="32"/>
        </w:rPr>
        <w:t>Despite the fact that they are experiencing numerous problems in the financial markets.</w:t>
      </w:r>
      <w:proofErr w:type="gramEnd"/>
      <w:r w:rsidRPr="00D678E6">
        <w:rPr>
          <w:b/>
          <w:color w:val="000000" w:themeColor="text1"/>
          <w:sz w:val="32"/>
        </w:rPr>
        <w:t xml:space="preserve"> Because some of the bank's employees sued the bank's credit, some criminal charges have been filed against the bank and several of its employees.</w:t>
      </w:r>
    </w:p>
    <w:sectPr w:rsidR="00D678E6" w:rsidRPr="00D678E6" w:rsidSect="00AB23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43A"/>
    <w:multiLevelType w:val="hybridMultilevel"/>
    <w:tmpl w:val="CAF0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85B3F"/>
    <w:multiLevelType w:val="multilevel"/>
    <w:tmpl w:val="7C2E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37C1A"/>
    <w:multiLevelType w:val="multilevel"/>
    <w:tmpl w:val="8506E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27654E"/>
    <w:multiLevelType w:val="multilevel"/>
    <w:tmpl w:val="71C6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06797"/>
    <w:multiLevelType w:val="multilevel"/>
    <w:tmpl w:val="A5BCB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A1547E"/>
    <w:multiLevelType w:val="multilevel"/>
    <w:tmpl w:val="3F1E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D92F07"/>
    <w:multiLevelType w:val="multilevel"/>
    <w:tmpl w:val="CF06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A76FA4"/>
    <w:multiLevelType w:val="multilevel"/>
    <w:tmpl w:val="4956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6F4D48"/>
    <w:multiLevelType w:val="multilevel"/>
    <w:tmpl w:val="F5348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1F3B14"/>
    <w:multiLevelType w:val="hybridMultilevel"/>
    <w:tmpl w:val="C68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6"/>
  </w:num>
  <w:num w:numId="5">
    <w:abstractNumId w:val="7"/>
  </w:num>
  <w:num w:numId="6">
    <w:abstractNumId w:val="1"/>
  </w:num>
  <w:num w:numId="7">
    <w:abstractNumId w:val="5"/>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E70F5"/>
    <w:rsid w:val="00040AFD"/>
    <w:rsid w:val="00090C98"/>
    <w:rsid w:val="000C62DC"/>
    <w:rsid w:val="00117964"/>
    <w:rsid w:val="001569DA"/>
    <w:rsid w:val="001A5439"/>
    <w:rsid w:val="001E05E6"/>
    <w:rsid w:val="001E4246"/>
    <w:rsid w:val="001F61AC"/>
    <w:rsid w:val="002A7351"/>
    <w:rsid w:val="00396580"/>
    <w:rsid w:val="003A5F59"/>
    <w:rsid w:val="004443EA"/>
    <w:rsid w:val="004B1EE7"/>
    <w:rsid w:val="004E70F5"/>
    <w:rsid w:val="005652BF"/>
    <w:rsid w:val="0069429F"/>
    <w:rsid w:val="006A7A61"/>
    <w:rsid w:val="00710C35"/>
    <w:rsid w:val="008232C4"/>
    <w:rsid w:val="008344B6"/>
    <w:rsid w:val="008403EB"/>
    <w:rsid w:val="00855BDF"/>
    <w:rsid w:val="00873DF6"/>
    <w:rsid w:val="00920935"/>
    <w:rsid w:val="0099128E"/>
    <w:rsid w:val="009A405F"/>
    <w:rsid w:val="00A716A3"/>
    <w:rsid w:val="00AB234A"/>
    <w:rsid w:val="00B02260"/>
    <w:rsid w:val="00B700E4"/>
    <w:rsid w:val="00B70F35"/>
    <w:rsid w:val="00BC330F"/>
    <w:rsid w:val="00C27666"/>
    <w:rsid w:val="00CA6F1E"/>
    <w:rsid w:val="00D678E6"/>
    <w:rsid w:val="00D81319"/>
    <w:rsid w:val="00DA4693"/>
    <w:rsid w:val="00DE5290"/>
    <w:rsid w:val="00E466B0"/>
    <w:rsid w:val="00E52E4A"/>
    <w:rsid w:val="00F02DE4"/>
    <w:rsid w:val="00F50BF1"/>
    <w:rsid w:val="00F613A9"/>
    <w:rsid w:val="00FD49DB"/>
    <w:rsid w:val="00FF6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4A"/>
  </w:style>
  <w:style w:type="paragraph" w:styleId="Heading2">
    <w:name w:val="heading 2"/>
    <w:basedOn w:val="Normal"/>
    <w:link w:val="Heading2Char"/>
    <w:uiPriority w:val="9"/>
    <w:qFormat/>
    <w:rsid w:val="00DA46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A46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40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7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A46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4693"/>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E52E4A"/>
    <w:rPr>
      <w:color w:val="0000FF"/>
      <w:u w:val="single"/>
    </w:rPr>
  </w:style>
  <w:style w:type="character" w:customStyle="1" w:styleId="mw-headline">
    <w:name w:val="mw-headline"/>
    <w:basedOn w:val="DefaultParagraphFont"/>
    <w:rsid w:val="001E05E6"/>
  </w:style>
  <w:style w:type="character" w:customStyle="1" w:styleId="mw-editsection">
    <w:name w:val="mw-editsection"/>
    <w:basedOn w:val="DefaultParagraphFont"/>
    <w:rsid w:val="001E05E6"/>
  </w:style>
  <w:style w:type="character" w:customStyle="1" w:styleId="mw-editsection-bracket">
    <w:name w:val="mw-editsection-bracket"/>
    <w:basedOn w:val="DefaultParagraphFont"/>
    <w:rsid w:val="001E05E6"/>
  </w:style>
  <w:style w:type="paragraph" w:styleId="BalloonText">
    <w:name w:val="Balloon Text"/>
    <w:basedOn w:val="Normal"/>
    <w:link w:val="BalloonTextChar"/>
    <w:uiPriority w:val="99"/>
    <w:semiHidden/>
    <w:unhideWhenUsed/>
    <w:rsid w:val="00565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2BF"/>
    <w:rPr>
      <w:rFonts w:ascii="Tahoma" w:hAnsi="Tahoma" w:cs="Tahoma"/>
      <w:sz w:val="16"/>
      <w:szCs w:val="16"/>
    </w:rPr>
  </w:style>
  <w:style w:type="character" w:customStyle="1" w:styleId="Heading4Char">
    <w:name w:val="Heading 4 Char"/>
    <w:basedOn w:val="DefaultParagraphFont"/>
    <w:link w:val="Heading4"/>
    <w:uiPriority w:val="9"/>
    <w:rsid w:val="009A405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629166">
      <w:bodyDiv w:val="1"/>
      <w:marLeft w:val="0"/>
      <w:marRight w:val="0"/>
      <w:marTop w:val="0"/>
      <w:marBottom w:val="0"/>
      <w:divBdr>
        <w:top w:val="none" w:sz="0" w:space="0" w:color="auto"/>
        <w:left w:val="none" w:sz="0" w:space="0" w:color="auto"/>
        <w:bottom w:val="none" w:sz="0" w:space="0" w:color="auto"/>
        <w:right w:val="none" w:sz="0" w:space="0" w:color="auto"/>
      </w:divBdr>
    </w:div>
    <w:div w:id="14770733">
      <w:bodyDiv w:val="1"/>
      <w:marLeft w:val="0"/>
      <w:marRight w:val="0"/>
      <w:marTop w:val="0"/>
      <w:marBottom w:val="0"/>
      <w:divBdr>
        <w:top w:val="none" w:sz="0" w:space="0" w:color="auto"/>
        <w:left w:val="none" w:sz="0" w:space="0" w:color="auto"/>
        <w:bottom w:val="none" w:sz="0" w:space="0" w:color="auto"/>
        <w:right w:val="none" w:sz="0" w:space="0" w:color="auto"/>
      </w:divBdr>
    </w:div>
    <w:div w:id="116922731">
      <w:bodyDiv w:val="1"/>
      <w:marLeft w:val="0"/>
      <w:marRight w:val="0"/>
      <w:marTop w:val="0"/>
      <w:marBottom w:val="0"/>
      <w:divBdr>
        <w:top w:val="none" w:sz="0" w:space="0" w:color="auto"/>
        <w:left w:val="none" w:sz="0" w:space="0" w:color="auto"/>
        <w:bottom w:val="none" w:sz="0" w:space="0" w:color="auto"/>
        <w:right w:val="none" w:sz="0" w:space="0" w:color="auto"/>
      </w:divBdr>
    </w:div>
    <w:div w:id="149716046">
      <w:bodyDiv w:val="1"/>
      <w:marLeft w:val="0"/>
      <w:marRight w:val="0"/>
      <w:marTop w:val="0"/>
      <w:marBottom w:val="0"/>
      <w:divBdr>
        <w:top w:val="none" w:sz="0" w:space="0" w:color="auto"/>
        <w:left w:val="none" w:sz="0" w:space="0" w:color="auto"/>
        <w:bottom w:val="none" w:sz="0" w:space="0" w:color="auto"/>
        <w:right w:val="none" w:sz="0" w:space="0" w:color="auto"/>
      </w:divBdr>
    </w:div>
    <w:div w:id="414523212">
      <w:bodyDiv w:val="1"/>
      <w:marLeft w:val="0"/>
      <w:marRight w:val="0"/>
      <w:marTop w:val="0"/>
      <w:marBottom w:val="0"/>
      <w:divBdr>
        <w:top w:val="none" w:sz="0" w:space="0" w:color="auto"/>
        <w:left w:val="none" w:sz="0" w:space="0" w:color="auto"/>
        <w:bottom w:val="none" w:sz="0" w:space="0" w:color="auto"/>
        <w:right w:val="none" w:sz="0" w:space="0" w:color="auto"/>
      </w:divBdr>
    </w:div>
    <w:div w:id="513809185">
      <w:bodyDiv w:val="1"/>
      <w:marLeft w:val="0"/>
      <w:marRight w:val="0"/>
      <w:marTop w:val="0"/>
      <w:marBottom w:val="0"/>
      <w:divBdr>
        <w:top w:val="none" w:sz="0" w:space="0" w:color="auto"/>
        <w:left w:val="none" w:sz="0" w:space="0" w:color="auto"/>
        <w:bottom w:val="none" w:sz="0" w:space="0" w:color="auto"/>
        <w:right w:val="none" w:sz="0" w:space="0" w:color="auto"/>
      </w:divBdr>
    </w:div>
    <w:div w:id="551120467">
      <w:bodyDiv w:val="1"/>
      <w:marLeft w:val="0"/>
      <w:marRight w:val="0"/>
      <w:marTop w:val="0"/>
      <w:marBottom w:val="0"/>
      <w:divBdr>
        <w:top w:val="none" w:sz="0" w:space="0" w:color="auto"/>
        <w:left w:val="none" w:sz="0" w:space="0" w:color="auto"/>
        <w:bottom w:val="none" w:sz="0" w:space="0" w:color="auto"/>
        <w:right w:val="none" w:sz="0" w:space="0" w:color="auto"/>
      </w:divBdr>
    </w:div>
    <w:div w:id="716054106">
      <w:bodyDiv w:val="1"/>
      <w:marLeft w:val="0"/>
      <w:marRight w:val="0"/>
      <w:marTop w:val="0"/>
      <w:marBottom w:val="0"/>
      <w:divBdr>
        <w:top w:val="none" w:sz="0" w:space="0" w:color="auto"/>
        <w:left w:val="none" w:sz="0" w:space="0" w:color="auto"/>
        <w:bottom w:val="none" w:sz="0" w:space="0" w:color="auto"/>
        <w:right w:val="none" w:sz="0" w:space="0" w:color="auto"/>
      </w:divBdr>
    </w:div>
    <w:div w:id="803474732">
      <w:bodyDiv w:val="1"/>
      <w:marLeft w:val="0"/>
      <w:marRight w:val="0"/>
      <w:marTop w:val="0"/>
      <w:marBottom w:val="0"/>
      <w:divBdr>
        <w:top w:val="none" w:sz="0" w:space="0" w:color="auto"/>
        <w:left w:val="none" w:sz="0" w:space="0" w:color="auto"/>
        <w:bottom w:val="none" w:sz="0" w:space="0" w:color="auto"/>
        <w:right w:val="none" w:sz="0" w:space="0" w:color="auto"/>
      </w:divBdr>
    </w:div>
    <w:div w:id="870999999">
      <w:bodyDiv w:val="1"/>
      <w:marLeft w:val="0"/>
      <w:marRight w:val="0"/>
      <w:marTop w:val="0"/>
      <w:marBottom w:val="0"/>
      <w:divBdr>
        <w:top w:val="none" w:sz="0" w:space="0" w:color="auto"/>
        <w:left w:val="none" w:sz="0" w:space="0" w:color="auto"/>
        <w:bottom w:val="none" w:sz="0" w:space="0" w:color="auto"/>
        <w:right w:val="none" w:sz="0" w:space="0" w:color="auto"/>
      </w:divBdr>
    </w:div>
    <w:div w:id="947544719">
      <w:bodyDiv w:val="1"/>
      <w:marLeft w:val="0"/>
      <w:marRight w:val="0"/>
      <w:marTop w:val="0"/>
      <w:marBottom w:val="0"/>
      <w:divBdr>
        <w:top w:val="none" w:sz="0" w:space="0" w:color="auto"/>
        <w:left w:val="none" w:sz="0" w:space="0" w:color="auto"/>
        <w:bottom w:val="none" w:sz="0" w:space="0" w:color="auto"/>
        <w:right w:val="none" w:sz="0" w:space="0" w:color="auto"/>
      </w:divBdr>
    </w:div>
    <w:div w:id="947859240">
      <w:bodyDiv w:val="1"/>
      <w:marLeft w:val="0"/>
      <w:marRight w:val="0"/>
      <w:marTop w:val="0"/>
      <w:marBottom w:val="0"/>
      <w:divBdr>
        <w:top w:val="none" w:sz="0" w:space="0" w:color="auto"/>
        <w:left w:val="none" w:sz="0" w:space="0" w:color="auto"/>
        <w:bottom w:val="none" w:sz="0" w:space="0" w:color="auto"/>
        <w:right w:val="none" w:sz="0" w:space="0" w:color="auto"/>
      </w:divBdr>
    </w:div>
    <w:div w:id="971834809">
      <w:bodyDiv w:val="1"/>
      <w:marLeft w:val="0"/>
      <w:marRight w:val="0"/>
      <w:marTop w:val="0"/>
      <w:marBottom w:val="0"/>
      <w:divBdr>
        <w:top w:val="none" w:sz="0" w:space="0" w:color="auto"/>
        <w:left w:val="none" w:sz="0" w:space="0" w:color="auto"/>
        <w:bottom w:val="none" w:sz="0" w:space="0" w:color="auto"/>
        <w:right w:val="none" w:sz="0" w:space="0" w:color="auto"/>
      </w:divBdr>
    </w:div>
    <w:div w:id="991756627">
      <w:bodyDiv w:val="1"/>
      <w:marLeft w:val="0"/>
      <w:marRight w:val="0"/>
      <w:marTop w:val="0"/>
      <w:marBottom w:val="0"/>
      <w:divBdr>
        <w:top w:val="none" w:sz="0" w:space="0" w:color="auto"/>
        <w:left w:val="none" w:sz="0" w:space="0" w:color="auto"/>
        <w:bottom w:val="none" w:sz="0" w:space="0" w:color="auto"/>
        <w:right w:val="none" w:sz="0" w:space="0" w:color="auto"/>
      </w:divBdr>
    </w:div>
    <w:div w:id="1272591207">
      <w:bodyDiv w:val="1"/>
      <w:marLeft w:val="0"/>
      <w:marRight w:val="0"/>
      <w:marTop w:val="0"/>
      <w:marBottom w:val="0"/>
      <w:divBdr>
        <w:top w:val="none" w:sz="0" w:space="0" w:color="auto"/>
        <w:left w:val="none" w:sz="0" w:space="0" w:color="auto"/>
        <w:bottom w:val="none" w:sz="0" w:space="0" w:color="auto"/>
        <w:right w:val="none" w:sz="0" w:space="0" w:color="auto"/>
      </w:divBdr>
    </w:div>
    <w:div w:id="1352105653">
      <w:bodyDiv w:val="1"/>
      <w:marLeft w:val="0"/>
      <w:marRight w:val="0"/>
      <w:marTop w:val="0"/>
      <w:marBottom w:val="0"/>
      <w:divBdr>
        <w:top w:val="none" w:sz="0" w:space="0" w:color="auto"/>
        <w:left w:val="none" w:sz="0" w:space="0" w:color="auto"/>
        <w:bottom w:val="none" w:sz="0" w:space="0" w:color="auto"/>
        <w:right w:val="none" w:sz="0" w:space="0" w:color="auto"/>
      </w:divBdr>
    </w:div>
    <w:div w:id="1475679294">
      <w:bodyDiv w:val="1"/>
      <w:marLeft w:val="0"/>
      <w:marRight w:val="0"/>
      <w:marTop w:val="0"/>
      <w:marBottom w:val="0"/>
      <w:divBdr>
        <w:top w:val="none" w:sz="0" w:space="0" w:color="auto"/>
        <w:left w:val="none" w:sz="0" w:space="0" w:color="auto"/>
        <w:bottom w:val="none" w:sz="0" w:space="0" w:color="auto"/>
        <w:right w:val="none" w:sz="0" w:space="0" w:color="auto"/>
      </w:divBdr>
    </w:div>
    <w:div w:id="1757825337">
      <w:bodyDiv w:val="1"/>
      <w:marLeft w:val="0"/>
      <w:marRight w:val="0"/>
      <w:marTop w:val="0"/>
      <w:marBottom w:val="0"/>
      <w:divBdr>
        <w:top w:val="none" w:sz="0" w:space="0" w:color="auto"/>
        <w:left w:val="none" w:sz="0" w:space="0" w:color="auto"/>
        <w:bottom w:val="none" w:sz="0" w:space="0" w:color="auto"/>
        <w:right w:val="none" w:sz="0" w:space="0" w:color="auto"/>
      </w:divBdr>
    </w:div>
    <w:div w:id="1841195695">
      <w:bodyDiv w:val="1"/>
      <w:marLeft w:val="0"/>
      <w:marRight w:val="0"/>
      <w:marTop w:val="0"/>
      <w:marBottom w:val="0"/>
      <w:divBdr>
        <w:top w:val="none" w:sz="0" w:space="0" w:color="auto"/>
        <w:left w:val="none" w:sz="0" w:space="0" w:color="auto"/>
        <w:bottom w:val="none" w:sz="0" w:space="0" w:color="auto"/>
        <w:right w:val="none" w:sz="0" w:space="0" w:color="auto"/>
      </w:divBdr>
    </w:div>
    <w:div w:id="1884707122">
      <w:bodyDiv w:val="1"/>
      <w:marLeft w:val="0"/>
      <w:marRight w:val="0"/>
      <w:marTop w:val="0"/>
      <w:marBottom w:val="0"/>
      <w:divBdr>
        <w:top w:val="none" w:sz="0" w:space="0" w:color="auto"/>
        <w:left w:val="none" w:sz="0" w:space="0" w:color="auto"/>
        <w:bottom w:val="none" w:sz="0" w:space="0" w:color="auto"/>
        <w:right w:val="none" w:sz="0" w:space="0" w:color="auto"/>
      </w:divBdr>
    </w:div>
    <w:div w:id="1915511820">
      <w:bodyDiv w:val="1"/>
      <w:marLeft w:val="0"/>
      <w:marRight w:val="0"/>
      <w:marTop w:val="0"/>
      <w:marBottom w:val="0"/>
      <w:divBdr>
        <w:top w:val="none" w:sz="0" w:space="0" w:color="auto"/>
        <w:left w:val="none" w:sz="0" w:space="0" w:color="auto"/>
        <w:bottom w:val="none" w:sz="0" w:space="0" w:color="auto"/>
        <w:right w:val="none" w:sz="0" w:space="0" w:color="auto"/>
      </w:divBdr>
    </w:div>
    <w:div w:id="197941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GlaxoSmithKline" TargetMode="External"/><Relationship Id="rId117" Type="http://schemas.openxmlformats.org/officeDocument/2006/relationships/hyperlink" Target="https://en.wikipedia.org/wiki/Virginia_Rometty" TargetMode="External"/><Relationship Id="rId21" Type="http://schemas.openxmlformats.org/officeDocument/2006/relationships/hyperlink" Target="https://en.wikipedia.org/wiki/Harold_Stanley" TargetMode="External"/><Relationship Id="rId42" Type="http://schemas.openxmlformats.org/officeDocument/2006/relationships/hyperlink" Target="https://en.wikipedia.org/wiki/United_States_sanctions_against_Iran" TargetMode="External"/><Relationship Id="rId47" Type="http://schemas.openxmlformats.org/officeDocument/2006/relationships/hyperlink" Target="https://en.wikipedia.org/wiki/COVID-19_pandemic" TargetMode="External"/><Relationship Id="rId63" Type="http://schemas.openxmlformats.org/officeDocument/2006/relationships/hyperlink" Target="https://en.wikipedia.org/w/index.php?title=Headcount&amp;action=edit&amp;redlink=1" TargetMode="External"/><Relationship Id="rId68" Type="http://schemas.openxmlformats.org/officeDocument/2006/relationships/hyperlink" Target="https://en.wikipedia.org/w/index.php?title=J_P_Morgan_Chase_Bank,_Dearborn&amp;action=edit&amp;redlink=1" TargetMode="External"/><Relationship Id="rId84" Type="http://schemas.openxmlformats.org/officeDocument/2006/relationships/image" Target="media/image4.jpeg"/><Relationship Id="rId89" Type="http://schemas.openxmlformats.org/officeDocument/2006/relationships/hyperlink" Target="https://en.wikipedia.org/wiki/Chase_Field" TargetMode="External"/><Relationship Id="rId112" Type="http://schemas.openxmlformats.org/officeDocument/2006/relationships/hyperlink" Target="https://en.wikipedia.org/wiki/Mellody_Hobson" TargetMode="External"/><Relationship Id="rId16" Type="http://schemas.openxmlformats.org/officeDocument/2006/relationships/hyperlink" Target="https://en.wikipedia.org/wiki/Glass%E2%80%93Steagall_Act" TargetMode="External"/><Relationship Id="rId107" Type="http://schemas.openxmlformats.org/officeDocument/2006/relationships/hyperlink" Target="https://en.wikipedia.org/wiki/Steve_Burke_(businessman)" TargetMode="External"/><Relationship Id="rId11" Type="http://schemas.openxmlformats.org/officeDocument/2006/relationships/hyperlink" Target="https://en.wikipedia.org/wiki/Fiscal_agent" TargetMode="External"/><Relationship Id="rId32" Type="http://schemas.openxmlformats.org/officeDocument/2006/relationships/hyperlink" Target="https://en.wikipedia.org/wiki/Maternal_death" TargetMode="External"/><Relationship Id="rId37" Type="http://schemas.openxmlformats.org/officeDocument/2006/relationships/hyperlink" Target="https://en.wikipedia.org/wiki/Tax-fraud" TargetMode="External"/><Relationship Id="rId53" Type="http://schemas.openxmlformats.org/officeDocument/2006/relationships/hyperlink" Target="https://en.wikipedia.org/wiki/Commodity_Futures_Trading_Commission" TargetMode="External"/><Relationship Id="rId58" Type="http://schemas.openxmlformats.org/officeDocument/2006/relationships/hyperlink" Target="https://en.wikipedia.org/wiki/Revenue" TargetMode="External"/><Relationship Id="rId74" Type="http://schemas.openxmlformats.org/officeDocument/2006/relationships/hyperlink" Target="https://en.wikipedia.org/wiki/Chicago" TargetMode="External"/><Relationship Id="rId79" Type="http://schemas.openxmlformats.org/officeDocument/2006/relationships/hyperlink" Target="https://en.wikipedia.org/wiki/Bank_One" TargetMode="External"/><Relationship Id="rId102" Type="http://schemas.openxmlformats.org/officeDocument/2006/relationships/hyperlink" Target="https://en.wikipedia.org/wiki/Jessamine_Stakes" TargetMode="External"/><Relationship Id="rId123" Type="http://schemas.openxmlformats.org/officeDocument/2006/relationships/hyperlink" Target="https://en.wikipedia.org/wiki/William_B._Harrison_Jr." TargetMode="External"/><Relationship Id="rId5" Type="http://schemas.openxmlformats.org/officeDocument/2006/relationships/image" Target="media/image1.png"/><Relationship Id="rId90" Type="http://schemas.openxmlformats.org/officeDocument/2006/relationships/hyperlink" Target="https://en.wikipedia.org/wiki/Phoenix,_Arizona" TargetMode="External"/><Relationship Id="rId95" Type="http://schemas.openxmlformats.org/officeDocument/2006/relationships/hyperlink" Target="https://en.wikipedia.org/wiki/NBA" TargetMode="External"/><Relationship Id="rId19" Type="http://schemas.openxmlformats.org/officeDocument/2006/relationships/hyperlink" Target="https://en.wikipedia.org/wiki/Henry_S._Morgan" TargetMode="External"/><Relationship Id="rId14" Type="http://schemas.openxmlformats.org/officeDocument/2006/relationships/hyperlink" Target="https://en.wikipedia.org/wiki/United_States_non-interventionism" TargetMode="External"/><Relationship Id="rId22" Type="http://schemas.openxmlformats.org/officeDocument/2006/relationships/hyperlink" Target="https://en.wikipedia.org/wiki/Morgan_Stanley" TargetMode="External"/><Relationship Id="rId27" Type="http://schemas.openxmlformats.org/officeDocument/2006/relationships/hyperlink" Target="https://en.wikipedia.org/wiki/The_Children%27s_Investment_Fund_Foundation" TargetMode="External"/><Relationship Id="rId30" Type="http://schemas.openxmlformats.org/officeDocument/2006/relationships/hyperlink" Target="https://en.wikipedia.org/wiki/Tuberculosis" TargetMode="External"/><Relationship Id="rId35" Type="http://schemas.openxmlformats.org/officeDocument/2006/relationships/hyperlink" Target="https://en.wikipedia.org/wiki/Coal_mine" TargetMode="External"/><Relationship Id="rId43" Type="http://schemas.openxmlformats.org/officeDocument/2006/relationships/hyperlink" Target="https://en.wikipedia.org/wiki/Weapon_of_mass_destruction" TargetMode="External"/><Relationship Id="rId48" Type="http://schemas.openxmlformats.org/officeDocument/2006/relationships/hyperlink" Target="https://en.wikipedia.org/wiki/Fidelity_Investments" TargetMode="External"/><Relationship Id="rId56" Type="http://schemas.openxmlformats.org/officeDocument/2006/relationships/hyperlink" Target="https://en.wikipedia.org/wiki/Transaction_account" TargetMode="External"/><Relationship Id="rId64" Type="http://schemas.openxmlformats.org/officeDocument/2006/relationships/hyperlink" Target="https://en.wikipedia.org/wiki/Fortune_500" TargetMode="External"/><Relationship Id="rId69" Type="http://schemas.openxmlformats.org/officeDocument/2006/relationships/hyperlink" Target="https://en.wikipedia.org/w/index.php?title=J_P_Morgan_Bank_and_Trust_Company&amp;action=edit&amp;redlink=1" TargetMode="External"/><Relationship Id="rId77" Type="http://schemas.openxmlformats.org/officeDocument/2006/relationships/hyperlink" Target="https://en.wikipedia.org/wiki/Columbus,_Ohio" TargetMode="External"/><Relationship Id="rId100" Type="http://schemas.openxmlformats.org/officeDocument/2006/relationships/hyperlink" Target="https://en.wikipedia.org/wiki/J.P._Morgan_Asset_Management" TargetMode="External"/><Relationship Id="rId105" Type="http://schemas.openxmlformats.org/officeDocument/2006/relationships/hyperlink" Target="https://en.wikipedia.org/wiki/Jamie_Dimon" TargetMode="External"/><Relationship Id="rId113" Type="http://schemas.openxmlformats.org/officeDocument/2006/relationships/hyperlink" Target="https://en.wikipedia.org/wiki/Ariel_Investments" TargetMode="External"/><Relationship Id="rId118" Type="http://schemas.openxmlformats.org/officeDocument/2006/relationships/hyperlink" Target="https://en.wikipedia.org/wiki/IBM" TargetMode="External"/><Relationship Id="rId126" Type="http://schemas.openxmlformats.org/officeDocument/2006/relationships/fontTable" Target="fontTable.xml"/><Relationship Id="rId8" Type="http://schemas.openxmlformats.org/officeDocument/2006/relationships/hyperlink" Target="https://en.wikipedia.org/wiki/Henry_P._Davison" TargetMode="External"/><Relationship Id="rId51" Type="http://schemas.openxmlformats.org/officeDocument/2006/relationships/hyperlink" Target="https://en.wikipedia.org/wiki/United_States_Department_of_Justice" TargetMode="External"/><Relationship Id="rId72" Type="http://schemas.openxmlformats.org/officeDocument/2006/relationships/hyperlink" Target="https://en.wikipedia.org/wiki/Chicago" TargetMode="External"/><Relationship Id="rId80" Type="http://schemas.openxmlformats.org/officeDocument/2006/relationships/hyperlink" Target="https://en.wikipedia.org/wiki/The_Pentagon" TargetMode="External"/><Relationship Id="rId85" Type="http://schemas.openxmlformats.org/officeDocument/2006/relationships/image" Target="media/image5.jpeg"/><Relationship Id="rId93" Type="http://schemas.openxmlformats.org/officeDocument/2006/relationships/hyperlink" Target="https://en.wikipedia.org/wiki/Chase_Center_(San_Francisco)" TargetMode="External"/><Relationship Id="rId98" Type="http://schemas.openxmlformats.org/officeDocument/2006/relationships/hyperlink" Target="https://en.wikipedia.org/wiki/JPMorgan_Chase_Corporate_Challenge" TargetMode="External"/><Relationship Id="rId121" Type="http://schemas.openxmlformats.org/officeDocument/2006/relationships/hyperlink" Target="https://en.wikipedia.org/wiki/Jamie_Dimon" TargetMode="External"/><Relationship Id="rId3" Type="http://schemas.openxmlformats.org/officeDocument/2006/relationships/settings" Target="settings.xml"/><Relationship Id="rId12" Type="http://schemas.openxmlformats.org/officeDocument/2006/relationships/hyperlink" Target="https://en.wikipedia.org/wiki/War_equipment" TargetMode="External"/><Relationship Id="rId17" Type="http://schemas.openxmlformats.org/officeDocument/2006/relationships/hyperlink" Target="https://en.wikipedia.org/wiki/Investment_banking" TargetMode="External"/><Relationship Id="rId25" Type="http://schemas.openxmlformats.org/officeDocument/2006/relationships/hyperlink" Target="https://en.wikipedia.org/wiki/Bill_and_Melinda_Gates_Foundation" TargetMode="External"/><Relationship Id="rId33" Type="http://schemas.openxmlformats.org/officeDocument/2006/relationships/hyperlink" Target="https://en.wikipedia.org/wiki/Infant_mortality" TargetMode="External"/><Relationship Id="rId38" Type="http://schemas.openxmlformats.org/officeDocument/2006/relationships/hyperlink" Target="https://en.wikipedia.org/wiki/Federal_government_of_Nigeria" TargetMode="External"/><Relationship Id="rId46" Type="http://schemas.openxmlformats.org/officeDocument/2006/relationships/hyperlink" Target="https://en.wikipedia.org/wiki/Financial_Times" TargetMode="External"/><Relationship Id="rId59" Type="http://schemas.openxmlformats.org/officeDocument/2006/relationships/hyperlink" Target="https://en.wikipedia.org/wiki/Net_income" TargetMode="External"/><Relationship Id="rId67" Type="http://schemas.openxmlformats.org/officeDocument/2006/relationships/hyperlink" Target="https://en.wikipedia.org/w/index.php?title=Custodial_Trust_Company&amp;action=edit&amp;redlink=1" TargetMode="External"/><Relationship Id="rId103" Type="http://schemas.openxmlformats.org/officeDocument/2006/relationships/hyperlink" Target="https://en.wikipedia.org/wiki/Lexington,_Kentucky" TargetMode="External"/><Relationship Id="rId108" Type="http://schemas.openxmlformats.org/officeDocument/2006/relationships/hyperlink" Target="https://en.wikipedia.org/wiki/Todd_Combs" TargetMode="External"/><Relationship Id="rId116" Type="http://schemas.openxmlformats.org/officeDocument/2006/relationships/hyperlink" Target="https://en.wikipedia.org/wiki/General_Dynamics" TargetMode="External"/><Relationship Id="rId124" Type="http://schemas.openxmlformats.org/officeDocument/2006/relationships/image" Target="media/image8.jpeg"/><Relationship Id="rId20" Type="http://schemas.openxmlformats.org/officeDocument/2006/relationships/hyperlink" Target="https://en.wikipedia.org/wiki/J._Pierpont_Morgan" TargetMode="External"/><Relationship Id="rId41" Type="http://schemas.openxmlformats.org/officeDocument/2006/relationships/hyperlink" Target="https://en.wikipedia.org/wiki/Cuban_Assets_Control_Regulations" TargetMode="External"/><Relationship Id="rId54" Type="http://schemas.openxmlformats.org/officeDocument/2006/relationships/hyperlink" Target="https://en.wikipedia.org/wiki/Deferred_prosecution_agreement" TargetMode="External"/><Relationship Id="rId62" Type="http://schemas.openxmlformats.org/officeDocument/2006/relationships/hyperlink" Target="https://en.wikipedia.org/wiki/Market_capitalization" TargetMode="External"/><Relationship Id="rId70" Type="http://schemas.openxmlformats.org/officeDocument/2006/relationships/hyperlink" Target="https://en.wikipedia.org/wiki/Chase_bank" TargetMode="External"/><Relationship Id="rId75" Type="http://schemas.openxmlformats.org/officeDocument/2006/relationships/hyperlink" Target="https://en.wikipedia.org/wiki/Illinois" TargetMode="External"/><Relationship Id="rId83" Type="http://schemas.openxmlformats.org/officeDocument/2006/relationships/hyperlink" Target="https://en.wikipedia.org/wiki/Texas_Commerce_Bank" TargetMode="External"/><Relationship Id="rId88" Type="http://schemas.openxmlformats.org/officeDocument/2006/relationships/image" Target="media/image7.jpeg"/><Relationship Id="rId91" Type="http://schemas.openxmlformats.org/officeDocument/2006/relationships/hyperlink" Target="https://en.wikipedia.org/wiki/Arizona_Diamondbacks" TargetMode="External"/><Relationship Id="rId96" Type="http://schemas.openxmlformats.org/officeDocument/2006/relationships/hyperlink" Target="https://en.wikipedia.org/wiki/Major_League_Soccer" TargetMode="External"/><Relationship Id="rId111" Type="http://schemas.openxmlformats.org/officeDocument/2006/relationships/hyperlink" Target="https://en.wikipedia.org/wiki/KPMG"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en.wikipedia.org/wiki/Republican_Party_(United_States)" TargetMode="External"/><Relationship Id="rId23" Type="http://schemas.openxmlformats.org/officeDocument/2006/relationships/hyperlink" Target="https://en.wikipedia.org/wiki/Lafayette,_Indiana" TargetMode="External"/><Relationship Id="rId28" Type="http://schemas.openxmlformats.org/officeDocument/2006/relationships/hyperlink" Target="https://en.wikipedia.org/wiki/Jamie_Dimon" TargetMode="External"/><Relationship Id="rId36" Type="http://schemas.openxmlformats.org/officeDocument/2006/relationships/hyperlink" Target="https://en.wikipedia.org/wiki/Coal_power_plant" TargetMode="External"/><Relationship Id="rId49" Type="http://schemas.openxmlformats.org/officeDocument/2006/relationships/hyperlink" Target="https://en.wikipedia.org/wiki/The_Vanguard_Group" TargetMode="External"/><Relationship Id="rId57" Type="http://schemas.openxmlformats.org/officeDocument/2006/relationships/hyperlink" Target="https://en.wikipedia.org/wiki/Chase_(UK)" TargetMode="External"/><Relationship Id="rId106" Type="http://schemas.openxmlformats.org/officeDocument/2006/relationships/hyperlink" Target="https://en.wikipedia.org/wiki/Bank_One" TargetMode="External"/><Relationship Id="rId114" Type="http://schemas.openxmlformats.org/officeDocument/2006/relationships/hyperlink" Target="https://en.wikipedia.org/wiki/GE_Capital" TargetMode="External"/><Relationship Id="rId119" Type="http://schemas.openxmlformats.org/officeDocument/2006/relationships/hyperlink" Target="https://en.wikipedia.org/wiki/IBM" TargetMode="External"/><Relationship Id="rId127" Type="http://schemas.openxmlformats.org/officeDocument/2006/relationships/theme" Target="theme/theme1.xml"/><Relationship Id="rId10" Type="http://schemas.openxmlformats.org/officeDocument/2006/relationships/hyperlink" Target="https://en.wikipedia.org/wiki/War_bonds" TargetMode="External"/><Relationship Id="rId31" Type="http://schemas.openxmlformats.org/officeDocument/2006/relationships/hyperlink" Target="https://en.wikipedia.org/wiki/HIV/AIDS" TargetMode="External"/><Relationship Id="rId44" Type="http://schemas.openxmlformats.org/officeDocument/2006/relationships/hyperlink" Target="https://en.wikipedia.org/wiki/Digital_token" TargetMode="External"/><Relationship Id="rId52" Type="http://schemas.openxmlformats.org/officeDocument/2006/relationships/hyperlink" Target="https://en.wikipedia.org/wiki/U.S._Securities_and_Exchange_Commission" TargetMode="External"/><Relationship Id="rId60" Type="http://schemas.openxmlformats.org/officeDocument/2006/relationships/hyperlink" Target="https://en.wikipedia.org/wiki/Asset" TargetMode="External"/><Relationship Id="rId65" Type="http://schemas.openxmlformats.org/officeDocument/2006/relationships/hyperlink" Target="https://en.wikipedia.org/wiki/Chase_Bank" TargetMode="External"/><Relationship Id="rId73" Type="http://schemas.openxmlformats.org/officeDocument/2006/relationships/hyperlink" Target="https://en.wikipedia.org/wiki/Chase_Tower_(Chicago)" TargetMode="External"/><Relationship Id="rId78" Type="http://schemas.openxmlformats.org/officeDocument/2006/relationships/hyperlink" Target="https://en.wikipedia.org/wiki/McCoy_Building" TargetMode="External"/><Relationship Id="rId81" Type="http://schemas.openxmlformats.org/officeDocument/2006/relationships/hyperlink" Target="https://en.wikipedia.org/wiki/JPMorgan_Chase_Tower_(Houston)" TargetMode="External"/><Relationship Id="rId86" Type="http://schemas.openxmlformats.org/officeDocument/2006/relationships/hyperlink" Target="https://en.wikipedia.org/wiki/383_Madison_Avenue" TargetMode="External"/><Relationship Id="rId94" Type="http://schemas.openxmlformats.org/officeDocument/2006/relationships/hyperlink" Target="https://en.wikipedia.org/wiki/Golden_State_Warriors" TargetMode="External"/><Relationship Id="rId99" Type="http://schemas.openxmlformats.org/officeDocument/2006/relationships/hyperlink" Target="https://en.wikipedia.org/wiki/US_Open_(tennis)" TargetMode="External"/><Relationship Id="rId101" Type="http://schemas.openxmlformats.org/officeDocument/2006/relationships/hyperlink" Target="https://en.wikipedia.org/wiki/England" TargetMode="External"/><Relationship Id="rId122" Type="http://schemas.openxmlformats.org/officeDocument/2006/relationships/hyperlink" Target="https://en.wikipedia.org/wiki/William_B._Harrison_Jr." TargetMode="External"/><Relationship Id="rId4" Type="http://schemas.openxmlformats.org/officeDocument/2006/relationships/webSettings" Target="webSettings.xml"/><Relationship Id="rId9" Type="http://schemas.openxmlformats.org/officeDocument/2006/relationships/hyperlink" Target="https://en.wikipedia.org/wiki/Bank_of_England" TargetMode="External"/><Relationship Id="rId13" Type="http://schemas.openxmlformats.org/officeDocument/2006/relationships/hyperlink" Target="https://en.wikipedia.org/wiki/Federal_government_of_the_United_States" TargetMode="External"/><Relationship Id="rId18" Type="http://schemas.openxmlformats.org/officeDocument/2006/relationships/hyperlink" Target="https://en.wikipedia.org/wiki/Commercial_banking" TargetMode="External"/><Relationship Id="rId39" Type="http://schemas.openxmlformats.org/officeDocument/2006/relationships/hyperlink" Target="https://en.wikipedia.org/wiki/Nigeria" TargetMode="External"/><Relationship Id="rId109" Type="http://schemas.openxmlformats.org/officeDocument/2006/relationships/hyperlink" Target="https://en.wikipedia.org/wiki/James_Crown" TargetMode="External"/><Relationship Id="rId34" Type="http://schemas.openxmlformats.org/officeDocument/2006/relationships/hyperlink" Target="https://en.wikipedia.org/wiki/2014_JPMorgan_Chase_data_breach" TargetMode="External"/><Relationship Id="rId50" Type="http://schemas.openxmlformats.org/officeDocument/2006/relationships/hyperlink" Target="https://en.wikipedia.org/wiki/Modern_slavery" TargetMode="External"/><Relationship Id="rId55" Type="http://schemas.openxmlformats.org/officeDocument/2006/relationships/hyperlink" Target="https://en.wikipedia.org/wiki/European_Super_League" TargetMode="External"/><Relationship Id="rId76" Type="http://schemas.openxmlformats.org/officeDocument/2006/relationships/hyperlink" Target="https://en.wikipedia.org/wiki/Hong_Kong" TargetMode="External"/><Relationship Id="rId97" Type="http://schemas.openxmlformats.org/officeDocument/2006/relationships/hyperlink" Target="https://en.wikipedia.org/wiki/Chase_Tower_(Chicago)" TargetMode="External"/><Relationship Id="rId104" Type="http://schemas.openxmlformats.org/officeDocument/2006/relationships/hyperlink" Target="https://en.wikipedia.org/wiki/Kentucky" TargetMode="External"/><Relationship Id="rId120" Type="http://schemas.openxmlformats.org/officeDocument/2006/relationships/hyperlink" Target="https://en.wikipedia.org/wiki/Jamie_Dimon" TargetMode="External"/><Relationship Id="rId125" Type="http://schemas.openxmlformats.org/officeDocument/2006/relationships/image" Target="media/image9.jpeg"/><Relationship Id="rId7" Type="http://schemas.openxmlformats.org/officeDocument/2006/relationships/image" Target="media/image3.jpeg"/><Relationship Id="rId71" Type="http://schemas.openxmlformats.org/officeDocument/2006/relationships/hyperlink" Target="https://en.wikipedia.org/wiki/Canada" TargetMode="External"/><Relationship Id="rId92" Type="http://schemas.openxmlformats.org/officeDocument/2006/relationships/hyperlink" Target="https://en.wikipedia.org/wiki/MLB" TargetMode="External"/><Relationship Id="rId2" Type="http://schemas.openxmlformats.org/officeDocument/2006/relationships/styles" Target="styles.xml"/><Relationship Id="rId29" Type="http://schemas.openxmlformats.org/officeDocument/2006/relationships/hyperlink" Target="https://en.wikipedia.org/wiki/Malaria" TargetMode="External"/><Relationship Id="rId24" Type="http://schemas.openxmlformats.org/officeDocument/2006/relationships/hyperlink" Target="https://en.wikipedia.org/wiki/Indiana" TargetMode="External"/><Relationship Id="rId40" Type="http://schemas.openxmlformats.org/officeDocument/2006/relationships/hyperlink" Target="https://en.wikipedia.org/wiki/Reuters" TargetMode="External"/><Relationship Id="rId45" Type="http://schemas.openxmlformats.org/officeDocument/2006/relationships/hyperlink" Target="https://en.wikipedia.org/wiki/JPMorgan_Chase" TargetMode="External"/><Relationship Id="rId66" Type="http://schemas.openxmlformats.org/officeDocument/2006/relationships/hyperlink" Target="https://en.wikipedia.org/wiki/J.P._Morgan_%26_Co." TargetMode="External"/><Relationship Id="rId87" Type="http://schemas.openxmlformats.org/officeDocument/2006/relationships/image" Target="media/image6.jpeg"/><Relationship Id="rId110" Type="http://schemas.openxmlformats.org/officeDocument/2006/relationships/hyperlink" Target="https://en.wikipedia.org/wiki/Henry_Crown_and_Company" TargetMode="External"/><Relationship Id="rId115" Type="http://schemas.openxmlformats.org/officeDocument/2006/relationships/hyperlink" Target="https://en.wikipedia.org/wiki/Phebe_Novakovic" TargetMode="External"/><Relationship Id="rId61" Type="http://schemas.openxmlformats.org/officeDocument/2006/relationships/hyperlink" Target="https://en.wikipedia.org/wiki/Equity_(finance)" TargetMode="External"/><Relationship Id="rId82" Type="http://schemas.openxmlformats.org/officeDocument/2006/relationships/hyperlink" Target="https://en.wikipedia.org/wiki/Hous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5197</Words>
  <Characters>29629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dc:creator>
  <cp:lastModifiedBy>ind</cp:lastModifiedBy>
  <cp:revision>2</cp:revision>
  <dcterms:created xsi:type="dcterms:W3CDTF">2022-03-03T19:26:00Z</dcterms:created>
  <dcterms:modified xsi:type="dcterms:W3CDTF">2022-03-03T19:26:00Z</dcterms:modified>
</cp:coreProperties>
</file>