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72" w:rsidRPr="00FD5A6A" w:rsidRDefault="00BB7E5D" w:rsidP="00FD5A6A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5A6A">
        <w:rPr>
          <w:rFonts w:ascii="Times New Roman" w:hAnsi="Times New Roman" w:cs="Times New Roman"/>
          <w:b/>
          <w:sz w:val="32"/>
          <w:szCs w:val="32"/>
          <w:u w:val="single"/>
        </w:rPr>
        <w:t>Academic Audit Report for Biotechnology</w:t>
      </w:r>
    </w:p>
    <w:p w:rsidR="00BB7E5D" w:rsidRDefault="00BB7E5D">
      <w:pPr>
        <w:rPr>
          <w:rFonts w:ascii="Times New Roman" w:hAnsi="Times New Roman" w:cs="Times New Roman"/>
          <w:sz w:val="32"/>
          <w:szCs w:val="32"/>
        </w:rPr>
      </w:pPr>
      <w:r w:rsidRPr="00BB7E5D">
        <w:rPr>
          <w:rFonts w:ascii="Times New Roman" w:hAnsi="Times New Roman" w:cs="Times New Roman"/>
          <w:sz w:val="32"/>
          <w:szCs w:val="32"/>
        </w:rPr>
        <w:t>Reports</w:t>
      </w:r>
      <w:r>
        <w:rPr>
          <w:rFonts w:ascii="Times New Roman" w:hAnsi="Times New Roman" w:cs="Times New Roman"/>
          <w:sz w:val="32"/>
          <w:szCs w:val="32"/>
        </w:rPr>
        <w:t xml:space="preserve"> highlight the following highlighted features:</w:t>
      </w:r>
    </w:p>
    <w:p w:rsidR="00BB7E5D" w:rsidRDefault="00BB7E5D" w:rsidP="00843F3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3D440D">
        <w:rPr>
          <w:rFonts w:ascii="Times New Roman" w:hAnsi="Times New Roman" w:cs="Times New Roman"/>
          <w:sz w:val="32"/>
          <w:szCs w:val="32"/>
        </w:rPr>
        <w:t>Learning objectives are inline to the students requirement, industry, and vision &amp; mission of institution.</w:t>
      </w:r>
    </w:p>
    <w:p w:rsidR="003D440D" w:rsidRDefault="003D440D" w:rsidP="00843F3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Teaching and learning process as a whole found to be very good.</w:t>
      </w:r>
    </w:p>
    <w:p w:rsidR="003D440D" w:rsidRDefault="003D440D" w:rsidP="00843F3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Evaluation process is fully transparent and no student grievance arose during last five years.</w:t>
      </w:r>
    </w:p>
    <w:p w:rsidR="003D440D" w:rsidRDefault="003D440D" w:rsidP="00843F3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All the regular faculties are Ph.D. and having very good number of International and National research publications, books and book chapters.</w:t>
      </w:r>
      <w:r w:rsidR="00843F32">
        <w:rPr>
          <w:rFonts w:ascii="Times New Roman" w:hAnsi="Times New Roman" w:cs="Times New Roman"/>
          <w:sz w:val="32"/>
          <w:szCs w:val="32"/>
        </w:rPr>
        <w:t xml:space="preserve"> However </w:t>
      </w:r>
      <w:r w:rsidR="00065127">
        <w:rPr>
          <w:rFonts w:ascii="Times New Roman" w:hAnsi="Times New Roman" w:cs="Times New Roman"/>
          <w:sz w:val="32"/>
          <w:szCs w:val="32"/>
        </w:rPr>
        <w:t xml:space="preserve">number of </w:t>
      </w:r>
      <w:r w:rsidR="00843F32">
        <w:rPr>
          <w:rFonts w:ascii="Times New Roman" w:hAnsi="Times New Roman" w:cs="Times New Roman"/>
          <w:sz w:val="32"/>
          <w:szCs w:val="32"/>
        </w:rPr>
        <w:t>patents and consultancies should be further improved.</w:t>
      </w:r>
    </w:p>
    <w:p w:rsidR="003D440D" w:rsidRDefault="003D440D" w:rsidP="00843F3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All the classrooms are ICT enabled, labs are well equipped and infrastructure is well maintained.</w:t>
      </w:r>
    </w:p>
    <w:p w:rsidR="003D440D" w:rsidRDefault="003D440D" w:rsidP="00843F3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686695">
        <w:rPr>
          <w:rFonts w:ascii="Times New Roman" w:hAnsi="Times New Roman" w:cs="Times New Roman"/>
          <w:sz w:val="32"/>
          <w:szCs w:val="32"/>
        </w:rPr>
        <w:t>Adequate resources are available and students are encouraged for academic and cultural pursuits.</w:t>
      </w:r>
    </w:p>
    <w:p w:rsidR="00686695" w:rsidRDefault="00686695" w:rsidP="00843F3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Research internship/ dissertation during complete fourth semester </w:t>
      </w:r>
      <w:r w:rsidR="005C4E47">
        <w:rPr>
          <w:rFonts w:ascii="Times New Roman" w:hAnsi="Times New Roman" w:cs="Times New Roman"/>
          <w:sz w:val="32"/>
          <w:szCs w:val="32"/>
        </w:rPr>
        <w:t xml:space="preserve">is </w:t>
      </w:r>
      <w:r>
        <w:rPr>
          <w:rFonts w:ascii="Times New Roman" w:hAnsi="Times New Roman" w:cs="Times New Roman"/>
          <w:sz w:val="32"/>
          <w:szCs w:val="32"/>
        </w:rPr>
        <w:t>mandatory for all students which is a very good practice.</w:t>
      </w:r>
    </w:p>
    <w:p w:rsidR="003D440D" w:rsidRDefault="0059186B" w:rsidP="00843F32">
      <w:pPr>
        <w:jc w:val="both"/>
        <w:rPr>
          <w:rFonts w:ascii="Times New Roman" w:hAnsi="Times New Roman" w:cs="Times New Roman"/>
          <w:sz w:val="32"/>
          <w:szCs w:val="32"/>
        </w:rPr>
      </w:pPr>
      <w:r w:rsidRPr="0059186B"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 wp14:anchorId="25FC3CDC" wp14:editId="58B78376">
            <wp:extent cx="5731510" cy="2874940"/>
            <wp:effectExtent l="19050" t="0" r="21590" b="16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3D440D" w:rsidSect="00DD3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B7E5D"/>
    <w:rsid w:val="00065127"/>
    <w:rsid w:val="00222C5A"/>
    <w:rsid w:val="003D440D"/>
    <w:rsid w:val="0059186B"/>
    <w:rsid w:val="005C4E47"/>
    <w:rsid w:val="00686695"/>
    <w:rsid w:val="00843F32"/>
    <w:rsid w:val="00BB7E5D"/>
    <w:rsid w:val="00D434DF"/>
    <w:rsid w:val="00DD3C85"/>
    <w:rsid w:val="00F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ikitaIO\Downloads\char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Sheet1!$E$2</c:f>
              <c:strCache>
                <c:ptCount val="1"/>
                <c:pt idx="0">
                  <c:v>Curriculum Development</c:v>
                </c:pt>
              </c:strCache>
            </c:strRef>
          </c:tx>
          <c:invertIfNegative val="0"/>
          <c:cat>
            <c:numRef>
              <c:f>Sheet1!$D$3:$D$7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Sheet1!$E$3:$E$7</c:f>
              <c:numCache>
                <c:formatCode>0%</c:formatCode>
                <c:ptCount val="5"/>
                <c:pt idx="0">
                  <c:v>1</c:v>
                </c:pt>
                <c:pt idx="1">
                  <c:v>0.9</c:v>
                </c:pt>
                <c:pt idx="2">
                  <c:v>1</c:v>
                </c:pt>
                <c:pt idx="3">
                  <c:v>0.9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Sheet1!$F$2</c:f>
              <c:strCache>
                <c:ptCount val="1"/>
                <c:pt idx="0">
                  <c:v>Teaching and Learning Process</c:v>
                </c:pt>
              </c:strCache>
            </c:strRef>
          </c:tx>
          <c:invertIfNegative val="0"/>
          <c:cat>
            <c:numRef>
              <c:f>Sheet1!$D$3:$D$7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Sheet1!$F$3:$F$7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0.9</c:v>
                </c:pt>
                <c:pt idx="3">
                  <c:v>1</c:v>
                </c:pt>
                <c:pt idx="4">
                  <c:v>0.9</c:v>
                </c:pt>
              </c:numCache>
            </c:numRef>
          </c:val>
        </c:ser>
        <c:ser>
          <c:idx val="2"/>
          <c:order val="2"/>
          <c:tx>
            <c:strRef>
              <c:f>Sheet1!$G$2</c:f>
              <c:strCache>
                <c:ptCount val="1"/>
                <c:pt idx="0">
                  <c:v>Evaluation Process</c:v>
                </c:pt>
              </c:strCache>
            </c:strRef>
          </c:tx>
          <c:invertIfNegative val="0"/>
          <c:cat>
            <c:numRef>
              <c:f>Sheet1!$D$3:$D$7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Sheet1!$G$3:$G$7</c:f>
              <c:numCache>
                <c:formatCode>0%</c:formatCode>
                <c:ptCount val="5"/>
                <c:pt idx="0">
                  <c:v>0.8</c:v>
                </c:pt>
                <c:pt idx="1">
                  <c:v>0.85000000000000009</c:v>
                </c:pt>
                <c:pt idx="2">
                  <c:v>0.9</c:v>
                </c:pt>
                <c:pt idx="3">
                  <c:v>0.95000000000000007</c:v>
                </c:pt>
                <c:pt idx="4">
                  <c:v>0.85000000000000009</c:v>
                </c:pt>
              </c:numCache>
            </c:numRef>
          </c:val>
        </c:ser>
        <c:ser>
          <c:idx val="3"/>
          <c:order val="3"/>
          <c:tx>
            <c:strRef>
              <c:f>Sheet1!$H$2</c:f>
              <c:strCache>
                <c:ptCount val="1"/>
                <c:pt idx="0">
                  <c:v>Research Activities</c:v>
                </c:pt>
              </c:strCache>
            </c:strRef>
          </c:tx>
          <c:invertIfNegative val="0"/>
          <c:cat>
            <c:numRef>
              <c:f>Sheet1!$D$3:$D$7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Sheet1!$H$3:$H$7</c:f>
              <c:numCache>
                <c:formatCode>0%</c:formatCode>
                <c:ptCount val="5"/>
                <c:pt idx="0">
                  <c:v>0.60000000000000009</c:v>
                </c:pt>
                <c:pt idx="1">
                  <c:v>0.70000000000000007</c:v>
                </c:pt>
                <c:pt idx="2">
                  <c:v>0.8</c:v>
                </c:pt>
                <c:pt idx="3">
                  <c:v>0.85000000000000009</c:v>
                </c:pt>
                <c:pt idx="4">
                  <c:v>0.9</c:v>
                </c:pt>
              </c:numCache>
            </c:numRef>
          </c:val>
        </c:ser>
        <c:ser>
          <c:idx val="4"/>
          <c:order val="4"/>
          <c:tx>
            <c:strRef>
              <c:f>Sheet1!$I$2</c:f>
              <c:strCache>
                <c:ptCount val="1"/>
                <c:pt idx="0">
                  <c:v>Infrastructure and Learning Resources</c:v>
                </c:pt>
              </c:strCache>
            </c:strRef>
          </c:tx>
          <c:invertIfNegative val="0"/>
          <c:cat>
            <c:numRef>
              <c:f>Sheet1!$D$3:$D$7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Sheet1!$I$3:$I$7</c:f>
              <c:numCache>
                <c:formatCode>0%</c:formatCode>
                <c:ptCount val="5"/>
                <c:pt idx="0">
                  <c:v>0.8</c:v>
                </c:pt>
                <c:pt idx="1">
                  <c:v>0.8</c:v>
                </c:pt>
                <c:pt idx="2">
                  <c:v>1</c:v>
                </c:pt>
                <c:pt idx="3">
                  <c:v>1</c:v>
                </c:pt>
                <c:pt idx="4">
                  <c:v>0.9</c:v>
                </c:pt>
              </c:numCache>
            </c:numRef>
          </c:val>
        </c:ser>
        <c:ser>
          <c:idx val="5"/>
          <c:order val="5"/>
          <c:tx>
            <c:strRef>
              <c:f>Sheet1!$J$2</c:f>
              <c:strCache>
                <c:ptCount val="1"/>
                <c:pt idx="0">
                  <c:v>Cocurricular Activities</c:v>
                </c:pt>
              </c:strCache>
            </c:strRef>
          </c:tx>
          <c:invertIfNegative val="0"/>
          <c:cat>
            <c:numRef>
              <c:f>Sheet1!$D$3:$D$7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Sheet1!$J$3:$J$7</c:f>
              <c:numCache>
                <c:formatCode>0%</c:formatCode>
                <c:ptCount val="5"/>
                <c:pt idx="0">
                  <c:v>1</c:v>
                </c:pt>
                <c:pt idx="1">
                  <c:v>0.95000000000000007</c:v>
                </c:pt>
                <c:pt idx="2">
                  <c:v>0.9</c:v>
                </c:pt>
                <c:pt idx="3">
                  <c:v>1</c:v>
                </c:pt>
                <c:pt idx="4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272256"/>
        <c:axId val="212273792"/>
      </c:barChart>
      <c:catAx>
        <c:axId val="21227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2273792"/>
        <c:crosses val="autoZero"/>
        <c:auto val="1"/>
        <c:lblAlgn val="ctr"/>
        <c:lblOffset val="100"/>
        <c:noMultiLvlLbl val="0"/>
      </c:catAx>
      <c:valAx>
        <c:axId val="2122737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2272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NikitaIO</dc:creator>
  <cp:lastModifiedBy>Tamanna</cp:lastModifiedBy>
  <cp:revision>7</cp:revision>
  <dcterms:created xsi:type="dcterms:W3CDTF">2019-04-11T18:52:00Z</dcterms:created>
  <dcterms:modified xsi:type="dcterms:W3CDTF">2019-04-13T10:46:00Z</dcterms:modified>
</cp:coreProperties>
</file>